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numPr>
          <w:ilvl w:val="0"/>
          <w:numId w:val="0"/>
        </w:numPr>
        <w:spacing w:lineRule="auto" w:line="276" w:before="40" w:after="0"/>
        <w:ind w:left="0" w:hanging="0"/>
        <w:jc w:val="center"/>
        <w:outlineLvl w:val="1"/>
        <w:rPr>
          <w:rFonts w:ascii="Times New Roman" w:hAnsi="Times New Roman" w:cs="Times New Roman"/>
          <w:b/>
          <w:bCs/>
          <w:sz w:val="24"/>
          <w:szCs w:val="24"/>
          <w:lang w:eastAsia="pl-PL"/>
        </w:rPr>
      </w:pPr>
      <w:bookmarkStart w:id="0" w:name="_Toc174467929"/>
      <w:bookmarkStart w:id="1" w:name="_Toc176265161"/>
      <w:r>
        <w:rPr>
          <w:rFonts w:cs="Times New Roman" w:ascii="Times New Roman" w:hAnsi="Times New Roman"/>
          <w:b/>
          <w:bCs/>
          <w:sz w:val="24"/>
          <w:szCs w:val="24"/>
          <w:lang w:eastAsia="pl-PL"/>
        </w:rPr>
        <w:t xml:space="preserve">Informacja dla sygnalistów zgodnie z art. 48 ustawy z dnia 14 czerwca 2024 r. </w:t>
        <w:br/>
        <w:t>o ochronie sygnalistów (Dz. U. 2024 r., poz. 928) - umieszczana na stronach BIP</w:t>
      </w:r>
      <w:bookmarkEnd w:id="0"/>
      <w:bookmarkEnd w:id="1"/>
    </w:p>
    <w:p>
      <w:pPr>
        <w:pStyle w:val="Normal"/>
        <w:spacing w:lineRule="auto" w:line="276" w:before="0" w:after="200"/>
        <w:rPr>
          <w:lang w:eastAsia="pl-PL"/>
        </w:rPr>
      </w:pPr>
      <w:r>
        <w:rPr>
          <w:lang w:eastAsia="pl-PL"/>
        </w:rPr>
      </w:r>
    </w:p>
    <w:p>
      <w:pPr>
        <w:pStyle w:val="Normal"/>
        <w:spacing w:lineRule="auto" w:line="276" w:before="0" w:after="20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 dniem 25 września 2024 r. w Komendzie Powiatowej Policji w Stalowej Woli, zapewnia się możliwość dokonywania zgłoszeń wewnętrznych w trybie i na warunkach określonych w ustawie z dnia 14 czerwca 2024 r. o ochronie sygnalistów (Dz. U. 2024 r., poz. 928). </w:t>
      </w:r>
    </w:p>
    <w:p>
      <w:pPr>
        <w:pStyle w:val="Normal"/>
        <w:spacing w:lineRule="auto" w:line="276" w:before="0" w:after="20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 dniem 25 grudnia 2024 r. w Komendzie Powiatowej Policji w Stalowej Woli zapewnia się możliwość dokonywania zgłoszeń zewnętrznych w trybie i na warunkach określonych w ustawie z dnia 14 czerwca 2024 r. o ochronie sygnalistów (Dz. U. 2024 r., poz. 928). </w:t>
      </w:r>
    </w:p>
    <w:p>
      <w:pPr>
        <w:pStyle w:val="Normal"/>
        <w:spacing w:lineRule="auto" w:line="276"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Dane kontaktowe umożliwiające dokonanie zgłoszenia wewnętrznego lub zewnętrznego: </w:t>
      </w:r>
    </w:p>
    <w:p>
      <w:pPr>
        <w:pStyle w:val="Normal"/>
        <w:spacing w:lineRule="auto" w:line="276"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Osoby upoważnione do przyjmowania zgłoszeń: </w:t>
      </w:r>
      <w:r>
        <w:rPr>
          <w:rFonts w:cs="Times New Roman" w:ascii="Times New Roman" w:hAnsi="Times New Roman"/>
          <w:b/>
          <w:bCs/>
          <w:sz w:val="24"/>
          <w:szCs w:val="24"/>
          <w:lang w:eastAsia="pl-PL"/>
        </w:rPr>
        <w:t>nadkom. Adam Cudziło</w:t>
      </w:r>
    </w:p>
    <w:p>
      <w:pPr>
        <w:pStyle w:val="Normal"/>
        <w:spacing w:lineRule="auto" w:line="276" w:before="0" w:after="0"/>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Adres: </w:t>
      </w:r>
      <w:r>
        <w:rPr>
          <w:rFonts w:cs="Times New Roman" w:ascii="Times New Roman" w:hAnsi="Times New Roman"/>
          <w:b/>
          <w:bCs/>
          <w:sz w:val="24"/>
          <w:szCs w:val="24"/>
        </w:rPr>
        <w:t>Komenda Powiatowa Policji w Stalowej Woli, ul. Ks. J. Popiełuszki 24,</w:t>
        <w:br/>
        <w:t>37-450 Stalowa Wola</w:t>
      </w:r>
      <w:r>
        <w:rPr>
          <w:rFonts w:cs="Times New Roman" w:ascii="Times New Roman" w:hAnsi="Times New Roman"/>
          <w:color w:val="333333"/>
          <w:sz w:val="24"/>
          <w:szCs w:val="24"/>
          <w:lang w:eastAsia="pl-PL"/>
        </w:rPr>
        <w:t xml:space="preserve">; </w:t>
      </w:r>
    </w:p>
    <w:p>
      <w:pPr>
        <w:pStyle w:val="Normal"/>
        <w:spacing w:lineRule="auto" w:line="276" w:before="0" w:after="0"/>
        <w:rPr>
          <w:rFonts w:ascii="Times New Roman" w:hAnsi="Times New Roman" w:cs="Times New Roman"/>
          <w:color w:val="ED0000"/>
          <w:sz w:val="24"/>
          <w:szCs w:val="24"/>
          <w:lang w:val="en-US" w:eastAsia="pl-PL"/>
        </w:rPr>
      </w:pPr>
      <w:r>
        <w:rPr>
          <w:rFonts w:cs="Times New Roman" w:ascii="Times New Roman" w:hAnsi="Times New Roman"/>
          <w:color w:val="333333"/>
          <w:sz w:val="24"/>
          <w:szCs w:val="24"/>
          <w:lang w:val="en-US" w:eastAsia="pl-PL"/>
        </w:rPr>
        <w:t xml:space="preserve">e-mail: </w:t>
      </w:r>
      <w:r>
        <w:rPr>
          <w:rFonts w:cs="Times New Roman" w:ascii="Times New Roman" w:hAnsi="Times New Roman"/>
          <w:sz w:val="24"/>
          <w:szCs w:val="24"/>
          <w:lang w:val="en-US" w:eastAsia="pl-PL"/>
        </w:rPr>
        <w:t xml:space="preserve">adam.cudzilo@rz.policja.pl; </w:t>
      </w:r>
    </w:p>
    <w:p>
      <w:pPr>
        <w:pStyle w:val="Normal"/>
        <w:spacing w:lineRule="auto" w:line="276" w:before="0" w:after="0"/>
        <w:rPr>
          <w:rFonts w:ascii="Times New Roman" w:hAnsi="Times New Roman" w:cs="Times New Roman"/>
          <w:sz w:val="24"/>
          <w:szCs w:val="24"/>
          <w:lang w:eastAsia="pl-PL"/>
        </w:rPr>
      </w:pPr>
      <w:r>
        <w:rPr>
          <w:rFonts w:cs="Times New Roman" w:ascii="Times New Roman" w:hAnsi="Times New Roman"/>
          <w:sz w:val="24"/>
          <w:szCs w:val="24"/>
          <w:lang w:eastAsia="pl-PL"/>
        </w:rPr>
        <w:t xml:space="preserve">tel.: </w:t>
      </w:r>
      <w:r>
        <w:rPr>
          <w:rFonts w:cs="Times New Roman" w:ascii="Times New Roman" w:hAnsi="Times New Roman"/>
          <w:b/>
          <w:bCs/>
          <w:sz w:val="24"/>
          <w:szCs w:val="24"/>
          <w:lang w:eastAsia="pl-PL"/>
        </w:rPr>
        <w:t>47 8261 360</w:t>
      </w:r>
      <w:r>
        <w:rPr>
          <w:rFonts w:cs="Times New Roman" w:ascii="Times New Roman" w:hAnsi="Times New Roman"/>
          <w:sz w:val="24"/>
          <w:szCs w:val="24"/>
          <w:lang w:eastAsia="pl-PL"/>
        </w:rPr>
        <w:t xml:space="preserve"> (rozmowy nie są nagrywane).</w:t>
      </w:r>
    </w:p>
    <w:p>
      <w:pPr>
        <w:pStyle w:val="Normal"/>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r>
    </w:p>
    <w:p>
      <w:pPr>
        <w:pStyle w:val="Normal"/>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Zachęcamy do dokonywania zgłoszeń wewnętrznych oraz zewnętrznych zgodnie z ustalonym trybem obowiązującym w </w:t>
      </w:r>
      <w:r>
        <w:rPr>
          <w:rFonts w:cs="Times New Roman" w:ascii="Times New Roman" w:hAnsi="Times New Roman"/>
          <w:sz w:val="24"/>
          <w:szCs w:val="24"/>
          <w:lang w:eastAsia="pl-PL"/>
        </w:rPr>
        <w:t xml:space="preserve">Komendzie Powiatowej Policji w Stalowej Woli </w:t>
      </w:r>
      <w:r>
        <w:rPr>
          <w:rFonts w:cs="Times New Roman" w:ascii="Times New Roman" w:hAnsi="Times New Roman"/>
          <w:color w:val="333333"/>
          <w:sz w:val="24"/>
          <w:szCs w:val="24"/>
          <w:lang w:eastAsia="pl-PL"/>
        </w:rPr>
        <w:t>w „Procedurze zgłoszeń wewnętrznych i zewnętrznych oraz podejmowania działań następczych” dalej jako „Procedura”.</w:t>
      </w:r>
    </w:p>
    <w:p>
      <w:pPr>
        <w:pStyle w:val="Normal"/>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r>
    </w:p>
    <w:p>
      <w:pPr>
        <w:pStyle w:val="Normal"/>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Dokonanie zgłoszenia z wykorzystaniem innych kanałów komunikacji niż określone </w:t>
        <w:br/>
        <w:t>w Procedurze nie jest dopuszczalne, a wniesione w ten sposób zgłoszenie może zostać nierozpoznane.</w:t>
      </w:r>
    </w:p>
    <w:p>
      <w:pPr>
        <w:pStyle w:val="Normal"/>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r>
    </w:p>
    <w:p>
      <w:pPr>
        <w:pStyle w:val="Normal"/>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Informacje o: </w:t>
      </w:r>
    </w:p>
    <w:p>
      <w:pPr>
        <w:pStyle w:val="Normal"/>
        <w:numPr>
          <w:ilvl w:val="0"/>
          <w:numId w:val="12"/>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Trybie postępowania mającym zastosowanie w przypadku zgłoszenia zewnętrznego, </w:t>
        <w:br/>
        <w:t xml:space="preserve">w tym wymagany sposób wyjaśnienia informacji będących przedmiotem zgłoszenia lub przedstawienia dodatkowych informacji; </w:t>
      </w:r>
    </w:p>
    <w:p>
      <w:pPr>
        <w:pStyle w:val="Normal"/>
        <w:numPr>
          <w:ilvl w:val="0"/>
          <w:numId w:val="12"/>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Terminie przekazania informacji zwrotnej oraz rodzaj i zawartości takiej informacji; </w:t>
      </w:r>
    </w:p>
    <w:p>
      <w:pPr>
        <w:pStyle w:val="Normal"/>
        <w:numPr>
          <w:ilvl w:val="0"/>
          <w:numId w:val="12"/>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Procedurach służących ochronie przed działaniami odwetowymi;</w:t>
      </w:r>
    </w:p>
    <w:p>
      <w:pPr>
        <w:pStyle w:val="Normal"/>
        <w:shd w:val="clear" w:color="auto" w:fill="FFFFFF"/>
        <w:spacing w:lineRule="auto" w:line="276" w:before="0" w:after="20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zostały określone w Procedurze.</w:t>
      </w:r>
    </w:p>
    <w:p>
      <w:pPr>
        <w:pStyle w:val="Normal"/>
        <w:shd w:val="clear" w:color="auto" w:fill="FFFFFF"/>
        <w:spacing w:lineRule="auto" w:line="240" w:before="0" w:after="20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Jednocześnie informuję, iż Procedura umożliwia również dokonywanie zgłoszeń wewnętrznych oraz minimalizuje ryzyko działań odwetowych. W przypadku, gdy naruszeniu prawa można skutecznie zaradzić w ramach struktury organizacyjnej tut. </w:t>
      </w:r>
      <w:r>
        <w:rPr>
          <w:rFonts w:cs="Times New Roman" w:ascii="Times New Roman" w:hAnsi="Times New Roman"/>
          <w:sz w:val="24"/>
          <w:szCs w:val="24"/>
          <w:lang w:eastAsia="pl-PL"/>
        </w:rPr>
        <w:t xml:space="preserve">Komenda Powiatowa Policji w Stalowej Wola </w:t>
      </w:r>
      <w:r>
        <w:rPr>
          <w:rFonts w:cs="Times New Roman" w:ascii="Times New Roman" w:hAnsi="Times New Roman"/>
          <w:color w:val="333333"/>
          <w:sz w:val="24"/>
          <w:szCs w:val="24"/>
          <w:lang w:eastAsia="pl-PL"/>
        </w:rPr>
        <w:t xml:space="preserve">zachęca do dokonywania zgłoszeń wewnętrznych. </w:t>
      </w:r>
    </w:p>
    <w:p>
      <w:pPr>
        <w:pStyle w:val="Normal"/>
        <w:shd w:val="clear" w:color="auto" w:fill="FFFFFF"/>
        <w:spacing w:lineRule="auto" w:line="276" w:before="0" w:after="20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Informacja o zasadach ochrony danych osobowych wraz z klauzula informacyjną przetwarzania danych osobowych znajdują się na stronie internetowej Komendy Powiatowej Policji w Stalowej Woli.</w:t>
      </w:r>
    </w:p>
    <w:p>
      <w:pPr>
        <w:pStyle w:val="Normal"/>
        <w:shd w:val="clear" w:color="auto" w:fill="FFFFFF"/>
        <w:spacing w:lineRule="auto" w:line="276" w:before="0" w:after="20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Inne wymagane informacje:</w:t>
      </w:r>
    </w:p>
    <w:p>
      <w:pPr>
        <w:pStyle w:val="Normal"/>
        <w:shd w:val="clear" w:color="auto" w:fill="FFFFFF"/>
        <w:spacing w:lineRule="auto" w:line="276" w:before="0" w:after="0"/>
        <w:jc w:val="both"/>
        <w:rPr>
          <w:rFonts w:ascii="New Times Roman" w:hAnsi="New Times Roman" w:cs="New Times Roman"/>
          <w:b/>
          <w:bCs/>
          <w:color w:val="333333"/>
          <w:sz w:val="24"/>
          <w:szCs w:val="24"/>
          <w:lang w:eastAsia="pl-PL"/>
        </w:rPr>
      </w:pPr>
      <w:r>
        <w:rPr>
          <w:rFonts w:cs="New Times Roman" w:ascii="New Times Roman" w:hAnsi="New Times Roman"/>
          <w:b/>
          <w:bCs/>
          <w:color w:val="333333"/>
          <w:sz w:val="24"/>
          <w:szCs w:val="24"/>
          <w:lang w:eastAsia="pl-PL"/>
        </w:rPr>
        <w:t>Dane kontaktowe Rzecznika Praw Obywatelskich (RPO):</w:t>
      </w:r>
    </w:p>
    <w:p>
      <w:pPr>
        <w:pStyle w:val="Normal"/>
        <w:shd w:val="clear" w:color="auto" w:fill="FFFFFF"/>
        <w:spacing w:lineRule="auto" w:line="276"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Adres Biura RPO w Warszawie</w:t>
      </w:r>
    </w:p>
    <w:p>
      <w:pPr>
        <w:pStyle w:val="Normal"/>
        <w:shd w:val="clear" w:color="auto" w:fill="FFFFFF"/>
        <w:spacing w:lineRule="auto" w:line="276"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Aleja Solidarności 77, 00 - 090 Warszawa</w:t>
      </w:r>
    </w:p>
    <w:p>
      <w:pPr>
        <w:pStyle w:val="Normal"/>
        <w:shd w:val="clear" w:color="auto" w:fill="FFFFFF"/>
        <w:spacing w:lineRule="auto" w:line="276"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Telefon centrali (+ 48 22) 55 17 700</w:t>
      </w:r>
    </w:p>
    <w:p>
      <w:pPr>
        <w:pStyle w:val="Normal"/>
        <w:shd w:val="clear" w:color="auto" w:fill="FFFFFF"/>
        <w:spacing w:lineRule="auto" w:line="276"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fax (+ 48 22) 827 64 53</w:t>
      </w:r>
    </w:p>
    <w:p>
      <w:pPr>
        <w:pStyle w:val="Normal"/>
        <w:shd w:val="clear" w:color="auto" w:fill="FFFFFF"/>
        <w:spacing w:lineRule="auto" w:line="276"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e-mail: biurorzecznika@brpo.gov.pl</w:t>
      </w:r>
    </w:p>
    <w:p>
      <w:pPr>
        <w:pStyle w:val="Normal"/>
        <w:shd w:val="clear" w:color="auto" w:fill="FFFFFF"/>
        <w:spacing w:lineRule="auto" w:line="276" w:before="0" w:after="20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Aleja Solidarności 77, 00 - 090 Warszawa</w:t>
      </w:r>
    </w:p>
    <w:p>
      <w:pPr>
        <w:pStyle w:val="Normal"/>
        <w:shd w:val="clear" w:color="auto" w:fill="FFFFFF"/>
        <w:spacing w:lineRule="auto" w:line="240" w:before="0" w:after="0"/>
        <w:jc w:val="both"/>
        <w:textAlignment w:val="baseline"/>
        <w:rPr>
          <w:rFonts w:ascii="Times New Roman" w:hAnsi="Times New Roman" w:cs="Times New Roman"/>
          <w:color w:val="1B1B1B"/>
          <w:sz w:val="24"/>
          <w:szCs w:val="24"/>
          <w:lang w:eastAsia="pl-PL"/>
        </w:rPr>
      </w:pPr>
      <w:r>
        <w:rPr>
          <w:rFonts w:cs="Times New Roman" w:ascii="Times New Roman" w:hAnsi="Times New Roman"/>
          <w:color w:val="1B1B1B"/>
          <w:sz w:val="24"/>
          <w:szCs w:val="24"/>
          <w:lang w:eastAsia="pl-PL"/>
        </w:rPr>
        <w:t>Rolą RPO jest przyjmowanie zgłoszeń zewnętrznych, w tym wstępna weryfikacja zgłoszenia i  nadanie sprawie dalszego biegu przez skierowanie zgłoszenia do organu publicznego właściwego do podjęcia działań następczych lub – w zakresie konstytucyjnych wolności i praw człowieka i obywatela – rozpatrzenie zgłoszenia i podjęcie działań następczych.</w:t>
      </w:r>
    </w:p>
    <w:p>
      <w:pPr>
        <w:pStyle w:val="Normal"/>
        <w:shd w:val="clear" w:color="auto" w:fill="FFFFFF"/>
        <w:spacing w:lineRule="auto" w:line="240" w:before="0" w:after="0"/>
        <w:jc w:val="both"/>
        <w:textAlignment w:val="baseline"/>
        <w:rPr>
          <w:rFonts w:ascii="Times New Roman" w:hAnsi="Times New Roman" w:cs="Times New Roman"/>
          <w:color w:val="1B1B1B"/>
          <w:sz w:val="24"/>
          <w:szCs w:val="24"/>
          <w:lang w:eastAsia="pl-PL"/>
        </w:rPr>
      </w:pPr>
      <w:r>
        <w:rPr>
          <w:rFonts w:cs="Times New Roman" w:ascii="Times New Roman" w:hAnsi="Times New Roman"/>
          <w:color w:val="1B1B1B"/>
          <w:sz w:val="24"/>
          <w:szCs w:val="24"/>
          <w:lang w:eastAsia="pl-PL"/>
        </w:rPr>
      </w:r>
    </w:p>
    <w:p>
      <w:pPr>
        <w:pStyle w:val="Normal"/>
        <w:shd w:val="clear" w:color="auto" w:fill="FFFFFF"/>
        <w:spacing w:lineRule="auto" w:line="240" w:before="0" w:after="0"/>
        <w:textAlignment w:val="baseline"/>
        <w:rPr>
          <w:rFonts w:ascii="Times New Roman" w:hAnsi="Times New Roman" w:cs="Times New Roman"/>
          <w:color w:val="1B1B1B"/>
          <w:sz w:val="24"/>
          <w:szCs w:val="24"/>
          <w:lang w:eastAsia="pl-PL"/>
        </w:rPr>
      </w:pPr>
      <w:r>
        <w:rPr>
          <w:rFonts w:cs="Times New Roman" w:ascii="Times New Roman" w:hAnsi="Times New Roman"/>
          <w:color w:val="1B1B1B"/>
          <w:sz w:val="24"/>
          <w:szCs w:val="24"/>
          <w:lang w:eastAsia="pl-PL"/>
        </w:rPr>
        <w:t>Dodatkowo RPO zapewnia dostępność poufnej porady dla osób rozważających dokonanie zgłoszenia zewnętrznego.</w:t>
      </w:r>
    </w:p>
    <w:p>
      <w:pPr>
        <w:pStyle w:val="Normal"/>
        <w:shd w:val="clear" w:color="auto" w:fill="FFFFFF"/>
        <w:spacing w:lineRule="auto" w:line="276" w:before="0" w:after="200"/>
        <w:jc w:val="both"/>
        <w:rPr>
          <w:rFonts w:ascii="Open Sans" w:hAnsi="Open Sans" w:cs="Open Sans"/>
          <w:color w:val="333333"/>
          <w:sz w:val="24"/>
          <w:szCs w:val="24"/>
          <w:lang w:eastAsia="pl-PL"/>
        </w:rPr>
      </w:pPr>
      <w:r>
        <w:rPr>
          <w:rFonts w:cs="Open Sans" w:ascii="Open Sans" w:hAnsi="Open Sans"/>
          <w:color w:val="333333"/>
          <w:sz w:val="24"/>
          <w:szCs w:val="24"/>
          <w:lang w:eastAsia="pl-PL"/>
        </w:rPr>
      </w:r>
    </w:p>
    <w:p>
      <w:pPr>
        <w:pStyle w:val="Normal"/>
        <w:spacing w:lineRule="auto" w:line="276" w:before="0" w:after="200"/>
        <w:rPr>
          <w:rFonts w:ascii="Times New Roman" w:hAnsi="Times New Roman" w:cs="Times New Roman"/>
          <w:b/>
          <w:bCs/>
          <w:sz w:val="24"/>
          <w:szCs w:val="24"/>
          <w:shd w:fill="FFFFFF" w:val="clear"/>
          <w:lang w:eastAsia="pl-PL"/>
        </w:rPr>
      </w:pPr>
      <w:r>
        <w:rPr>
          <w:rFonts w:cs="Times New Roman" w:ascii="Times New Roman" w:hAnsi="Times New Roman"/>
          <w:b/>
          <w:bCs/>
          <w:sz w:val="24"/>
          <w:szCs w:val="24"/>
          <w:shd w:fill="FFFFFF" w:val="clear"/>
          <w:lang w:eastAsia="pl-PL"/>
        </w:rPr>
        <w:t>Warunki objęcia sygnalisty ochroną</w:t>
      </w:r>
    </w:p>
    <w:p>
      <w:pPr>
        <w:pStyle w:val="Normal"/>
        <w:numPr>
          <w:ilvl w:val="0"/>
          <w:numId w:val="4"/>
        </w:numPr>
        <w:spacing w:lineRule="auto" w:line="276" w:before="0" w:after="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Zgodnie z ustawą z dnia 14 czerwca 2024 r. o ochronie sygnalistów (Dz. U. 2024 poz. 928), dalej „ustawa” Sygnalistą jest osoba fizyczna, która zgłasza lub ujawnia publicznie informację o naruszeniu prawa uzyskaną w kontekście związanym z pracą, w tym:</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pracownik;</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pracownik tymczasowy;</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osoba świadcząca pracę na innej podstawie niż stosunek pracy, w tym na podstawie umowy cywilnoprawnej;</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przedsiębiorca;</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prokurent;</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akcjonariusz lub wspólnik;</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członek organu osoby prawnej lub jednostki organizacyjnej nieposiadającej osobowości prawnej;</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osoba świadcząca pracę pod nadzorem i kierownictwem wykonawcy, podwykonawcy lub dostawcy;</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stażysta;</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wolontariusz;</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praktykant;</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 xml:space="preserve">funkcjonariusz w rozumieniu art. 1 ust. 1 ustawy z dnia 18 lutego 1994 r. </w:t>
        <w:br/>
        <w:t>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2024 r. poz. 1121);</w:t>
      </w:r>
    </w:p>
    <w:p>
      <w:pPr>
        <w:pStyle w:val="Normal"/>
        <w:numPr>
          <w:ilvl w:val="1"/>
          <w:numId w:val="3"/>
        </w:numPr>
        <w:spacing w:lineRule="auto" w:line="276" w:before="0" w:after="0"/>
        <w:ind w:left="1276" w:hanging="39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żołnierz w rozumieniu art. 2 pkt 39 ustawy z dnia 11 marca 2022 r. o obronie Ojczyzny (Dz. U. z 2024 r. poz. 248 z późn.zm.).</w:t>
      </w:r>
    </w:p>
    <w:p>
      <w:pPr>
        <w:pStyle w:val="Normal"/>
        <w:numPr>
          <w:ilvl w:val="0"/>
          <w:numId w:val="4"/>
        </w:numPr>
        <w:spacing w:lineRule="auto" w:line="276" w:before="0" w:after="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Naruszeniem prawa jest działanie lub zaniechanie niezgodne z prawem lub mające na celu obejście prawa, dotyczące:</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korupcji;</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zamówień publicznych;</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usług, produktów i rynków finansowych;</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przeciwdziałania praniu pieniędzy oraz finansowaniu terroryzmu;</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bezpieczeństwa produktów i ich zgodności z wymogami;</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bezpieczeństwa transportu;</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ochrony środowiska;</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ochrony radiologicznej i bezpieczeństwa jądrowego;</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bezpieczeństwa żywności i pasz;</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zdrowia i dobrostanu zwierząt;</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zdrowia publicznego;</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ochrony konsumentów;</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ochrony prywatności i danych osobowych;</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bezpieczeństwa sieci i systemów teleinformatycznych;</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interesów finansowych Skarbu Państwa Rzeczypospolitej Polskiej, jednostki samorządu terytorialnego oraz Unii Europejskiej;</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rynku wewnętrznego Unii Europejskiej, w tym publicznoprawnych zasad konkurencji i pomocy państwa oraz opodatkowania osób prawnych;</w:t>
      </w:r>
    </w:p>
    <w:p>
      <w:pPr>
        <w:pStyle w:val="Normal"/>
        <w:numPr>
          <w:ilvl w:val="0"/>
          <w:numId w:val="5"/>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konstytucyjnych wolności i praw człowieka i obywatela - występujące </w:t>
        <w:br/>
        <w:t xml:space="preserve">w stosunkach jednostki z organami władzy publicznej i niezwiązane </w:t>
        <w:br/>
        <w:t>z dziedzinami wskazanymi w pkt 1-16.</w:t>
      </w:r>
    </w:p>
    <w:p>
      <w:pPr>
        <w:pStyle w:val="Normal"/>
        <w:numPr>
          <w:ilvl w:val="0"/>
          <w:numId w:val="4"/>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Ustawy nie stosuje się do informacji objętych:</w:t>
      </w:r>
    </w:p>
    <w:p>
      <w:pPr>
        <w:pStyle w:val="Normal"/>
        <w:numPr>
          <w:ilvl w:val="1"/>
          <w:numId w:val="4"/>
        </w:numPr>
        <w:shd w:val="clear" w:color="auto" w:fill="FFFFFF"/>
        <w:spacing w:lineRule="auto" w:line="276" w:before="0" w:after="0"/>
        <w:ind w:left="1276" w:hanging="283"/>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przepisami o ochronie informacji niejawnych oraz innych informacji, które nie podlegają ujawnieniu z mocy przepisów prawa powszechnie obowiązującego ze względów bezpieczeństwa publicznego;</w:t>
      </w:r>
    </w:p>
    <w:p>
      <w:pPr>
        <w:pStyle w:val="Normal"/>
        <w:numPr>
          <w:ilvl w:val="1"/>
          <w:numId w:val="4"/>
        </w:numPr>
        <w:shd w:val="clear" w:color="auto" w:fill="FFFFFF"/>
        <w:spacing w:lineRule="auto" w:line="276" w:before="0" w:after="0"/>
        <w:ind w:left="1276" w:hanging="283"/>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tajemnicą zawodową zawodów medycznych oraz prawniczych;</w:t>
      </w:r>
    </w:p>
    <w:p>
      <w:pPr>
        <w:pStyle w:val="Normal"/>
        <w:numPr>
          <w:ilvl w:val="1"/>
          <w:numId w:val="4"/>
        </w:numPr>
        <w:shd w:val="clear" w:color="auto" w:fill="FFFFFF"/>
        <w:spacing w:lineRule="auto" w:line="276" w:before="0" w:after="0"/>
        <w:ind w:left="1276" w:hanging="283"/>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tajemnicą narady sędziowskiej;</w:t>
      </w:r>
    </w:p>
    <w:p>
      <w:pPr>
        <w:pStyle w:val="Normal"/>
        <w:numPr>
          <w:ilvl w:val="1"/>
          <w:numId w:val="4"/>
        </w:numPr>
        <w:shd w:val="clear" w:color="auto" w:fill="FFFFFF"/>
        <w:spacing w:lineRule="auto" w:line="276" w:before="0" w:after="0"/>
        <w:ind w:left="1276" w:hanging="283"/>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postępowaniem karnym - w zakresie tajemnicy postępowania przygotowawczego oraz tajemnicy rozprawy sądowej prowadzonej z wyłączeniem jawności.</w:t>
      </w:r>
    </w:p>
    <w:p>
      <w:pPr>
        <w:pStyle w:val="Normal"/>
        <w:numPr>
          <w:ilvl w:val="0"/>
          <w:numId w:val="4"/>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Ustawy nie stosuje się do naruszeń prawa w zakresie zamówień w dziedzinach obronności i bezpieczeństwa w rozumieniu art. 7 pkt 36 ustawy z dnia 11 września 2019 r. - Prawo zamówień publicznych (Dz. U. z 2023 r. poz. 1605 i 1720), do których nie stosuje się tej ustawy, umów offsetowych zawieranych na podstawie ustawy z dnia 26 czerwca 2014 r. o niektórych umowach zawieranych w związku z realizacją zamówień o podstawowym znaczeniu dla bezpieczeństwa państwa (Dz. U. z 2022 r. poz. 1218) oraz innych środków podejmowanych w celu ochrony podstawowych lub istotnych interesów bezpieczeństwa państwa na podstawie art. 346 Traktatu </w:t>
        <w:br/>
        <w:t>o funkcjonowaniu Unii Europejskiej.</w:t>
      </w:r>
    </w:p>
    <w:p>
      <w:pPr>
        <w:pStyle w:val="Normal"/>
        <w:numPr>
          <w:ilvl w:val="0"/>
          <w:numId w:val="4"/>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Przepisów rozdziału 5 (ujawnienie publiczne) nie stosuje się do naruszeń prawa bezpośrednio związanych z realizacją przez służby specjalne, o których mowa w art. 11 ustawy z dnia 24 maja 2002 r. o Agencji Bezpieczeństwa Wewnętrznego oraz Agencji Wywiadu (Dz. U. z 2024 r. poz. 812), ustawowych zadań mających na celu zapewnienie bezpieczeństwa narodowego.</w:t>
      </w:r>
    </w:p>
    <w:p>
      <w:pPr>
        <w:pStyle w:val="Normal"/>
        <w:numPr>
          <w:ilvl w:val="0"/>
          <w:numId w:val="4"/>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Organem publicznym właściwym do przyjęcia zgłoszenia zewnętrznego dotyczącego naruszenia prawa przez służby specjalne, o których mowa w art. 11 ustawy z dnia 24 maja 2002 r. o Agencji Bezpieczeństwa Wewnętrznego oraz Agencji Wywiadu, oraz realizacji zadań, o których mowa w rozdziale 4, jest Prezes Rady Ministrów albo Minister - Koordynator Służb Specjalnych, w przypadku jego powołania.</w:t>
      </w:r>
    </w:p>
    <w:p>
      <w:pPr>
        <w:pStyle w:val="Normal"/>
        <w:numPr>
          <w:ilvl w:val="0"/>
          <w:numId w:val="4"/>
        </w:numPr>
        <w:spacing w:lineRule="auto" w:line="276" w:before="0" w:after="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 xml:space="preserve">Ochronę stosuje się także do osoby fizycznej, o której mowa w ust. 1, w przypadku zgłoszenia lub ujawnienia publicznego informacji o naruszeniu prawa uzyskanej </w:t>
        <w:br/>
        <w:t xml:space="preserve">w kontekście związanym z pracą przed nawiązaniem stosunku pracy lub innego stosunku prawnego stanowiącego podstawę świadczenia pracy lub usług lub pełnienia funkcji w podmiocie prawnym lub na rzecz tego podmiotu, lub pełnienia służby </w:t>
        <w:br/>
        <w:t>w podmiocie prawnym lub już po ich ustaniu.</w:t>
      </w:r>
    </w:p>
    <w:p>
      <w:pPr>
        <w:pStyle w:val="Normal"/>
        <w:numPr>
          <w:ilvl w:val="0"/>
          <w:numId w:val="4"/>
        </w:numPr>
        <w:spacing w:lineRule="auto" w:line="276" w:before="0" w:after="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t xml:space="preserve">Sygnalista podlega ochronie określonej w przepisach rozdziału 2 (Zakaz działań odwetowych i środki ochrony) Ustawy od chwili dokonania zgłoszenia lub ujawnienia publicznego, pod warunkiem że miał uzasadnione podstawy sądzić, że informacja będąca przedmiotem zgłoszenia lub ujawnienia publicznego jest prawdziwa </w:t>
        <w:br/>
        <w:t>w momencie dokonywania zgłoszenia lub ujawnienia publicznego i że stanowi informację o naruszeniu prawa.</w:t>
      </w:r>
    </w:p>
    <w:p>
      <w:pPr>
        <w:pStyle w:val="Normal"/>
        <w:numPr>
          <w:ilvl w:val="0"/>
          <w:numId w:val="4"/>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Przepisy dotyczące ochrony Sygnalisty stosuje się odpowiednio do osoby pomagającej w dokonaniu zgłoszenia oraz osoby powiązanej z sygnalistą, osoby prawnej lub innej jednostki organizacyjnej pomagającej sygnaliście lub z nim powiązanej, </w:t>
        <w:br/>
        <w:t>w szczególności stanowiącej własność sygnalisty lub go zatrudniającej.</w:t>
      </w:r>
    </w:p>
    <w:p>
      <w:pPr>
        <w:pStyle w:val="Normal"/>
        <w:spacing w:lineRule="auto" w:line="276" w:before="0" w:after="0"/>
        <w:jc w:val="both"/>
        <w:rPr>
          <w:rFonts w:ascii="Times New Roman" w:hAnsi="Times New Roman" w:cs="Times New Roman"/>
          <w:color w:val="333333"/>
          <w:sz w:val="24"/>
          <w:szCs w:val="24"/>
          <w:shd w:fill="FFFFFF" w:val="clear"/>
          <w:lang w:eastAsia="pl-PL"/>
        </w:rPr>
      </w:pPr>
      <w:r>
        <w:rPr>
          <w:rFonts w:cs="Times New Roman" w:ascii="Times New Roman" w:hAnsi="Times New Roman"/>
          <w:color w:val="333333"/>
          <w:sz w:val="24"/>
          <w:szCs w:val="24"/>
          <w:shd w:fill="FFFFFF" w:val="clear"/>
          <w:lang w:eastAsia="pl-PL"/>
        </w:rPr>
      </w:r>
    </w:p>
    <w:p>
      <w:pPr>
        <w:pStyle w:val="Normal"/>
        <w:spacing w:lineRule="auto" w:line="276" w:before="0" w:after="200"/>
        <w:rPr>
          <w:rFonts w:ascii="Times New Roman" w:hAnsi="Times New Roman" w:cs="Times New Roman"/>
          <w:b/>
          <w:bCs/>
          <w:sz w:val="24"/>
          <w:szCs w:val="24"/>
          <w:shd w:fill="FFFFFF" w:val="clear"/>
          <w:lang w:eastAsia="pl-PL"/>
        </w:rPr>
      </w:pPr>
      <w:r>
        <w:rPr>
          <w:rFonts w:cs="Times New Roman" w:ascii="Times New Roman" w:hAnsi="Times New Roman"/>
          <w:b/>
          <w:bCs/>
          <w:sz w:val="24"/>
          <w:szCs w:val="24"/>
          <w:shd w:fill="FFFFFF" w:val="clear"/>
          <w:lang w:eastAsia="pl-PL"/>
        </w:rPr>
        <w:t>Zakaz działań odwetowych i środki ochrony</w:t>
      </w:r>
    </w:p>
    <w:p>
      <w:pPr>
        <w:pStyle w:val="Normal"/>
        <w:numPr>
          <w:ilvl w:val="0"/>
          <w:numId w:val="6"/>
        </w:numPr>
        <w:spacing w:lineRule="auto" w:line="276" w:before="0" w:after="0"/>
        <w:jc w:val="both"/>
        <w:rPr>
          <w:rFonts w:ascii="Times New Roman" w:hAnsi="Times New Roman" w:cs="Times New Roman"/>
          <w:sz w:val="24"/>
          <w:szCs w:val="24"/>
          <w:shd w:fill="FFFFFF" w:val="clear"/>
          <w:lang w:eastAsia="pl-PL"/>
        </w:rPr>
      </w:pPr>
      <w:r>
        <w:rPr>
          <w:rFonts w:cs="Times New Roman" w:ascii="Times New Roman" w:hAnsi="Times New Roman"/>
          <w:sz w:val="24"/>
          <w:szCs w:val="24"/>
          <w:shd w:fill="FFFFFF" w:val="clear"/>
          <w:lang w:eastAsia="pl-PL"/>
        </w:rPr>
        <w:t>Wobec sygnalisty nie mogą być podejmowane działania odwetowe ani próby lub groźby zastosowania takich działań.</w:t>
      </w:r>
    </w:p>
    <w:p>
      <w:pPr>
        <w:pStyle w:val="Normal"/>
        <w:numPr>
          <w:ilvl w:val="0"/>
          <w:numId w:val="6"/>
        </w:numPr>
        <w:spacing w:lineRule="auto" w:line="276" w:before="0" w:after="0"/>
        <w:jc w:val="both"/>
        <w:rPr>
          <w:rFonts w:ascii="Times New Roman" w:hAnsi="Times New Roman" w:cs="Times New Roman"/>
          <w:sz w:val="24"/>
          <w:szCs w:val="24"/>
          <w:shd w:fill="FFFFFF" w:val="clear"/>
          <w:lang w:eastAsia="pl-PL"/>
        </w:rPr>
      </w:pPr>
      <w:r>
        <w:rPr>
          <w:rFonts w:cs="Times New Roman" w:ascii="Times New Roman" w:hAnsi="Times New Roman"/>
          <w:color w:val="333333"/>
          <w:sz w:val="24"/>
          <w:szCs w:val="24"/>
          <w:shd w:fill="FFFFFF" w:val="clear"/>
          <w:lang w:eastAsia="pl-PL"/>
        </w:rPr>
        <w:t xml:space="preserve">Jeżeli praca była, jest lub ma być świadczona na podstawie stosunku pracy, wobec sygnalisty nie mogą być podejmowane działania odwetowe, polegające </w:t>
        <w:br/>
        <w:t>w szczególności na:</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odmowie nawiązania stosunku pracy;</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wypowiedzeniu lub rozwiązaniu bez wypowiedzenia stosunku pracy;</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t>
        <w:br/>
        <w:t>w przypadku gdy sygnalista miał uzasadnione oczekiwanie, że zostanie z nim zawarta taka umowa;</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obniżeniu wysokości wynagrodzenia za pracę;</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wstrzymaniu awansu albo pominięciu przy awansowaniu;</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pominięciu przy przyznawaniu innych niż wynagrodzenie świadczeń związanych z pracą lub obniżeniu wysokości tych świadczeń;</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przeniesieniu na niższe stanowisko pracy;</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zawieszeniu w wykonywaniu obowiązków pracowniczych lub służbowych;</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przekazaniu innemu pracownikowi dotychczasowych obowiązków sygnalisty;</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niekorzystnej zmianie miejsca wykonywania pracy lub rozkładu czasu pracy;</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negatywnej ocenie wyników pracy lub negatywnej opinii o pracy;</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nałożeniu lub zastosowaniu środka dyscyplinarnego, w tym kary finansowej, lub środka o podobnym charakterze;</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przymusie, zastraszaniu lub wykluczeniu;</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mobbingu;</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dyskryminacji;</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niekorzystnym lub niesprawiedliwym traktowaniu;</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wstrzymaniu udziału lub pominięciu przy typowaniu do udziału w szkoleniach podnoszących kwalifikacje zawodowe;</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nieuzasadnionym skierowaniu na badania lekarskie, w tym badania psychiatryczne, chyba że przepisy odrębne przewidują możliwość skierowania pracownika na takie badania;</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działaniu zmierzającym do utrudnienia znalezienia w przyszłości pracy w danym sektorze lub w danej branży na podstawie nieformalnego lub formalnego porozumienia sektorowego lub branżowego;</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spowodowaniu straty finansowej, w tym gospodarczej, lub utraty dochodu;</w:t>
      </w:r>
    </w:p>
    <w:p>
      <w:pPr>
        <w:pStyle w:val="Normal"/>
        <w:numPr>
          <w:ilvl w:val="0"/>
          <w:numId w:val="7"/>
        </w:numPr>
        <w:shd w:val="clear" w:color="auto" w:fill="FFFFFF"/>
        <w:spacing w:lineRule="auto" w:line="276" w:before="0" w:after="0"/>
        <w:ind w:left="1276" w:hanging="36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wyrządzeniu innej szkody niematerialnej, w tym naruszeniu dóbr osobistych, </w:t>
        <w:br/>
        <w:t>w szczególności dobrego imienia sygnalisty.</w:t>
      </w:r>
    </w:p>
    <w:p>
      <w:pPr>
        <w:pStyle w:val="Normal"/>
        <w:numPr>
          <w:ilvl w:val="0"/>
          <w:numId w:val="6"/>
        </w:numPr>
        <w:shd w:val="clear" w:color="auto" w:fill="FFFFFF"/>
        <w:spacing w:lineRule="auto" w:line="240" w:before="0" w:after="0"/>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Za działania odwetowe z powodu dokonania zgłoszenia lub ujawnienia publicznego uważa się także próbę lub groźbę zastosowania środka określonego w ust. 2.</w:t>
      </w:r>
    </w:p>
    <w:p>
      <w:pPr>
        <w:pStyle w:val="Normal"/>
        <w:numPr>
          <w:ilvl w:val="0"/>
          <w:numId w:val="6"/>
        </w:numPr>
        <w:shd w:val="clear" w:color="auto" w:fill="FFFFFF"/>
        <w:spacing w:lineRule="auto" w:line="240" w:before="0" w:after="0"/>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Na pracodawcy spoczywa ciężar dowodu, że podjęte działanie, o którym mowa w ust. 2 i 3, nie jest działaniem odwetowym.</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Jeżeli praca lub usługi były, są lub mają być świadczone na podstawie innego niż stosunek pracy stosunku prawnego stanowiącego podstawę świadczenia pracy lub usług lub pełnienia funkcji, lub pełnienia służby, przepis art. 12 Ustawy stosuje się odpowiednio, o ile charakter świadczonej pracy lub usług lub pełnionej funkcji, lub pełnionej służby nie wyklucza zastosowania wobec sygnalisty takiego działania.</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pPr>
        <w:pStyle w:val="Normal"/>
        <w:numPr>
          <w:ilvl w:val="0"/>
          <w:numId w:val="8"/>
        </w:numPr>
        <w:shd w:val="clear" w:color="auto" w:fill="FFFFFF"/>
        <w:spacing w:lineRule="auto" w:line="276" w:before="0" w:after="0"/>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wypowiedzenie umowy, której stroną jest sygnalista, w szczególności dotyczącej sprzedaży lub dostawy towarów lub świadczenia usług, odstąpienie od takiej umowy lub rozwiązanie jej bez wypowiedzenia;</w:t>
      </w:r>
    </w:p>
    <w:p>
      <w:pPr>
        <w:pStyle w:val="Normal"/>
        <w:numPr>
          <w:ilvl w:val="0"/>
          <w:numId w:val="8"/>
        </w:numPr>
        <w:shd w:val="clear" w:color="auto" w:fill="FFFFFF"/>
        <w:spacing w:lineRule="auto" w:line="276" w:before="0" w:after="0"/>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nałożenie obowiązku lub odmowę przyznania, ograniczenie lub odebranie uprawnienia, w szczególności koncesji, zezwolenia lub ulgi.</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Sygnalista, wobec którego dopuszczono się działań odwetowych, ma prawo do odszkodowania w wysokości nie niższej niż przeciętne miesięczne wynagrodzenie </w:t>
        <w:br/>
        <w:t xml:space="preserve">w gospodarce narodowej w poprzednim roku, ogłaszane do celów emerytalnych </w:t>
        <w:br/>
        <w:t>w Dzienniku Urzędowym Rzeczypospolitej Polskiej "Monitor Polski" przez Prezesa Głównego Urzędu Statystycznego, lub prawo do zadośćuczynienia.</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Nie można zrzec się praw określonych w niniejszym rozdziale ani przyjąć na siebie odpowiedzialności za szkodę powstałą z powodu dokonania zgłoszenia lub ujawnienia publicznego. Nie dotyczy to przyjęcia odpowiedzialności za szkodę powstałą z powodu świadomego zgłoszenia lub ujawnienia publicznego nieprawdziwych informacji.</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Postanowienia aktów prawnych, o których mowa w art. 9 § 2 ustawy z dnia 26 czerwca 1974 r. - Kodeks pracy (Dz. U. z 2023 r. poz. 1465 oraz z 2024 r. poz. 878), w zakresie, w jakim bezpośrednio lub pośrednio wyłączają lub ograniczają prawo do dokonania zgłoszenia lub ujawnienia publicznego lub przewidują stosowanie środków odwetowych, nie obowiązują.</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w:t>
      </w:r>
    </w:p>
    <w:p>
      <w:pPr>
        <w:pStyle w:val="Normal"/>
        <w:numPr>
          <w:ilvl w:val="0"/>
          <w:numId w:val="6"/>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Postanowienia umów oraz innych aktów, na podstawie których jest świadczona praca lub usługi, są dostarczane towary lub jest dokonywana sprzedaż, innych niż wymienione w art. 19 Ustawy, w zakresie, w jakim bezpośrednio lub pośrednio wyłączają lub ograniczają prawo do dokonania zgłoszenia lub ujawnienia publicznego lub przewidują stosowanie środków odwetowych, są nieważne.</w:t>
      </w:r>
    </w:p>
    <w:p>
      <w:pPr>
        <w:pStyle w:val="Normal"/>
        <w:keepNext w:val="true"/>
        <w:numPr>
          <w:ilvl w:val="0"/>
          <w:numId w:val="0"/>
        </w:numPr>
        <w:spacing w:lineRule="auto" w:line="276" w:before="0" w:after="0"/>
        <w:ind w:left="0" w:hanging="0"/>
        <w:jc w:val="both"/>
        <w:outlineLvl w:val="0"/>
        <w:rPr>
          <w:rFonts w:ascii="Times New Roman" w:hAnsi="Times New Roman" w:cs="Times New Roman"/>
          <w:b/>
          <w:bCs/>
          <w:sz w:val="24"/>
          <w:szCs w:val="24"/>
          <w:shd w:fill="FFFFFF" w:val="clear"/>
          <w:lang w:eastAsia="pl-PL"/>
        </w:rPr>
      </w:pPr>
      <w:r>
        <w:rPr>
          <w:rFonts w:cs="Times New Roman" w:ascii="Times New Roman" w:hAnsi="Times New Roman"/>
          <w:b/>
          <w:bCs/>
          <w:sz w:val="24"/>
          <w:szCs w:val="24"/>
          <w:shd w:fill="FFFFFF" w:val="clear"/>
          <w:lang w:eastAsia="pl-PL"/>
        </w:rPr>
      </w:r>
    </w:p>
    <w:p>
      <w:pPr>
        <w:pStyle w:val="Normal"/>
        <w:spacing w:lineRule="auto" w:line="276" w:before="0" w:after="200"/>
        <w:rPr>
          <w:rFonts w:ascii="Times New Roman" w:hAnsi="Times New Roman" w:cs="Times New Roman"/>
          <w:b/>
          <w:bCs/>
          <w:sz w:val="24"/>
          <w:szCs w:val="24"/>
          <w:shd w:fill="FFFFFF" w:val="clear"/>
          <w:lang w:eastAsia="pl-PL"/>
        </w:rPr>
      </w:pPr>
      <w:r>
        <w:rPr>
          <w:rFonts w:cs="Times New Roman" w:ascii="Times New Roman" w:hAnsi="Times New Roman"/>
          <w:b/>
          <w:bCs/>
          <w:sz w:val="24"/>
          <w:szCs w:val="24"/>
          <w:shd w:fill="FFFFFF" w:val="clear"/>
          <w:lang w:eastAsia="pl-PL"/>
        </w:rPr>
        <w:t>Warunki na jakich sygnalista jest chroniony przed ponoszeniem odpowiedzialności za naruszenie poufności</w:t>
      </w:r>
    </w:p>
    <w:p>
      <w:pPr>
        <w:pStyle w:val="Normal"/>
        <w:numPr>
          <w:ilvl w:val="0"/>
          <w:numId w:val="2"/>
        </w:numPr>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Dokonanie zgłoszenia lub ujawnienia publicznego nie może stanowić podstawy odpowiedzialności, w tym odpowiedzialności dyscyplinarnej lub odpowiedzialności za szkodę z tytułu naruszenia praw innych osób lub obowiązków określonych </w:t>
        <w:br/>
        <w:t xml:space="preserve">w przepisach prawa, w szczególności w przedmiocie zniesławienia, naruszenia dóbr osobistych, praw autorskich, ochrony danych osobowych oraz obowiązku zachowania tajemnicy, w tym tajemnicy przedsiębiorstwa, z uwzględnieniem art. 5 ustawy, pod warunkiem że sygnalista miał uzasadnione podstawy sądzić, że zgłoszenie lub ujawnienie publiczne jest niezbędne do ujawnienia naruszenia prawa zgodnie </w:t>
        <w:br/>
        <w:t>z ustawą.</w:t>
      </w:r>
    </w:p>
    <w:p>
      <w:pPr>
        <w:pStyle w:val="Normal"/>
        <w:numPr>
          <w:ilvl w:val="0"/>
          <w:numId w:val="2"/>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 xml:space="preserve">W przypadku wszczęcia postępowania prawnego dotyczącego odpowiedzialności, </w:t>
        <w:br/>
        <w:t>o której mowa w ust. 1, sygnalista może wystąpić o umorzenie takiego postępowania.</w:t>
      </w:r>
    </w:p>
    <w:p>
      <w:pPr>
        <w:pStyle w:val="Normal"/>
        <w:numPr>
          <w:ilvl w:val="0"/>
          <w:numId w:val="2"/>
        </w:numPr>
        <w:shd w:val="clear" w:color="auto" w:fill="FFFFFF"/>
        <w:spacing w:lineRule="auto" w:line="276"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Uzyskanie informacji będących przedmiotem zgłoszenia lub ujawnienia publicznego lub dostęp do takich informacji nie mogą stanowić podstawy odpowiedzialności, pod warunkiem że takie uzyskanie lub taki dostęp nie stanowią czynu zabronionego.</w:t>
      </w:r>
    </w:p>
    <w:p>
      <w:pPr>
        <w:pStyle w:val="Normal"/>
        <w:shd w:val="clear" w:color="auto" w:fill="FFFFFF"/>
        <w:spacing w:lineRule="auto" w:line="276" w:before="0" w:after="0"/>
        <w:ind w:left="786" w:hanging="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r>
    </w:p>
    <w:p>
      <w:pPr>
        <w:pStyle w:val="Normal"/>
        <w:spacing w:lineRule="auto" w:line="276" w:before="0" w:after="200"/>
        <w:rPr>
          <w:rFonts w:ascii="Times New Roman" w:hAnsi="Times New Roman" w:cs="Times New Roman"/>
          <w:b/>
          <w:bCs/>
          <w:sz w:val="24"/>
          <w:szCs w:val="24"/>
          <w:shd w:fill="FFFFFF" w:val="clear"/>
          <w:lang w:eastAsia="pl-PL"/>
        </w:rPr>
      </w:pPr>
      <w:r>
        <w:rPr>
          <w:rFonts w:cs="Times New Roman" w:ascii="Times New Roman" w:hAnsi="Times New Roman"/>
          <w:b/>
          <w:bCs/>
          <w:sz w:val="24"/>
          <w:szCs w:val="24"/>
          <w:shd w:fill="FFFFFF" w:val="clear"/>
          <w:lang w:eastAsia="pl-PL"/>
        </w:rPr>
        <w:t>Środki ochrony prawnej sygnalistów</w:t>
      </w:r>
    </w:p>
    <w:p>
      <w:pPr>
        <w:pStyle w:val="Normal"/>
        <w:numPr>
          <w:ilvl w:val="0"/>
          <w:numId w:val="9"/>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Środki ochrony Sygnalistów obejmują:</w:t>
      </w:r>
    </w:p>
    <w:p>
      <w:pPr>
        <w:pStyle w:val="Normal"/>
        <w:numPr>
          <w:ilvl w:val="1"/>
          <w:numId w:val="9"/>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zakaz działań odwetowych (np. zakaz wypowiedzenia stosunku pracy),</w:t>
      </w:r>
    </w:p>
    <w:p>
      <w:pPr>
        <w:pStyle w:val="Normal"/>
        <w:numPr>
          <w:ilvl w:val="1"/>
          <w:numId w:val="9"/>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odwrócony ciężar dowodu (na stosującym działanie odwetowe będzie spoczywał ciężar dowodu, że podjęte działanie nie jest działaniem odwetowym),</w:t>
      </w:r>
    </w:p>
    <w:p>
      <w:pPr>
        <w:pStyle w:val="Normal"/>
        <w:numPr>
          <w:ilvl w:val="1"/>
          <w:numId w:val="9"/>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odszkodowanie za dopuszczenie się działań odwetowych,</w:t>
      </w:r>
    </w:p>
    <w:p>
      <w:pPr>
        <w:pStyle w:val="Normal"/>
        <w:numPr>
          <w:ilvl w:val="1"/>
          <w:numId w:val="9"/>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zakaz zrzeczenia się ochrony,</w:t>
      </w:r>
    </w:p>
    <w:p>
      <w:pPr>
        <w:pStyle w:val="Normal"/>
        <w:numPr>
          <w:ilvl w:val="1"/>
          <w:numId w:val="9"/>
        </w:numPr>
        <w:shd w:val="clear" w:color="auto" w:fill="FFFFFF"/>
        <w:spacing w:lineRule="auto" w:line="240" w:before="0" w:after="0"/>
        <w:jc w:val="both"/>
        <w:rPr>
          <w:rFonts w:ascii="Times New Roman" w:hAnsi="Times New Roman" w:cs="Times New Roman"/>
          <w:color w:val="333333"/>
          <w:sz w:val="24"/>
          <w:szCs w:val="24"/>
          <w:lang w:eastAsia="pl-PL"/>
        </w:rPr>
      </w:pPr>
      <w:r>
        <w:rPr>
          <w:rFonts w:cs="Times New Roman" w:ascii="Times New Roman" w:hAnsi="Times New Roman"/>
          <w:color w:val="333333"/>
          <w:sz w:val="24"/>
          <w:szCs w:val="24"/>
          <w:lang w:eastAsia="pl-PL"/>
        </w:rPr>
        <w:t>sankcje.</w:t>
      </w:r>
    </w:p>
    <w:p>
      <w:pPr>
        <w:pStyle w:val="Normal"/>
        <w:shd w:val="clear" w:color="auto" w:fill="FFFFFF"/>
        <w:spacing w:lineRule="auto" w:line="276" w:before="0" w:after="200"/>
        <w:jc w:val="both"/>
        <w:rPr>
          <w:rFonts w:ascii="Open Sans" w:hAnsi="Open Sans" w:cs="Open Sans"/>
          <w:color w:val="333333"/>
          <w:sz w:val="24"/>
          <w:szCs w:val="24"/>
          <w:lang w:eastAsia="pl-PL"/>
        </w:rPr>
      </w:pPr>
      <w:r>
        <w:rPr>
          <w:rFonts w:cs="Open Sans" w:ascii="Open Sans" w:hAnsi="Open Sans"/>
          <w:color w:val="333333"/>
          <w:sz w:val="24"/>
          <w:szCs w:val="24"/>
          <w:lang w:eastAsia="pl-PL"/>
        </w:rPr>
      </w:r>
    </w:p>
    <w:p>
      <w:pPr>
        <w:pStyle w:val="Normal"/>
        <w:spacing w:lineRule="auto" w:line="276" w:before="0" w:after="200"/>
        <w:rPr>
          <w:rFonts w:ascii="Times New Roman" w:hAnsi="Times New Roman" w:cs="Times New Roman"/>
          <w:b/>
          <w:bCs/>
          <w:sz w:val="24"/>
          <w:szCs w:val="24"/>
          <w:shd w:fill="FFFFFF" w:val="clear"/>
          <w:lang w:eastAsia="pl-PL"/>
        </w:rPr>
      </w:pPr>
      <w:r>
        <w:rPr>
          <w:rFonts w:cs="Times New Roman" w:ascii="Times New Roman" w:hAnsi="Times New Roman"/>
          <w:b/>
          <w:bCs/>
          <w:sz w:val="24"/>
          <w:szCs w:val="24"/>
          <w:shd w:fill="FFFFFF" w:val="clear"/>
          <w:lang w:eastAsia="pl-PL"/>
        </w:rPr>
        <w:t>Sankcje karne</w:t>
      </w:r>
    </w:p>
    <w:p>
      <w:pPr>
        <w:pStyle w:val="Normal"/>
        <w:numPr>
          <w:ilvl w:val="0"/>
          <w:numId w:val="10"/>
        </w:numPr>
        <w:shd w:val="clear" w:color="auto" w:fill="FFFFFF"/>
        <w:spacing w:lineRule="auto" w:line="240"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Uniemożliwianie lub utrudnianie dokonania zgłoszenia:</w:t>
      </w:r>
    </w:p>
    <w:p>
      <w:pPr>
        <w:pStyle w:val="Normal"/>
        <w:numPr>
          <w:ilvl w:val="0"/>
          <w:numId w:val="11"/>
        </w:numPr>
        <w:shd w:val="clear" w:color="auto" w:fill="FFFFFF"/>
        <w:spacing w:lineRule="auto" w:line="240" w:before="0" w:after="0"/>
        <w:jc w:val="both"/>
        <w:rPr>
          <w:rFonts w:ascii="New Times Roman" w:hAnsi="New Times Roman" w:cs="New Times Roman"/>
          <w:i/>
          <w:i/>
          <w:iCs/>
          <w:color w:val="333333"/>
          <w:sz w:val="24"/>
          <w:szCs w:val="24"/>
          <w:lang w:eastAsia="pl-PL"/>
        </w:rPr>
      </w:pPr>
      <w:r>
        <w:rPr>
          <w:rFonts w:cs="New Times Roman" w:ascii="New Times Roman" w:hAnsi="New Times Roman"/>
          <w:i/>
          <w:iCs/>
          <w:color w:val="333333"/>
          <w:sz w:val="24"/>
          <w:szCs w:val="24"/>
          <w:lang w:eastAsia="pl-PL"/>
        </w:rPr>
        <w:t>Kto, chcąc, aby inna osoba nie dokonała zgłoszenia, uniemożliwia jej to lub istotnie utrudnia, podlega grzywnie, karze ograniczenia wolności albo pozbawienia wolności do roku.</w:t>
      </w:r>
    </w:p>
    <w:p>
      <w:pPr>
        <w:pStyle w:val="Normal"/>
        <w:numPr>
          <w:ilvl w:val="0"/>
          <w:numId w:val="11"/>
        </w:numPr>
        <w:shd w:val="clear" w:color="auto" w:fill="FFFFFF"/>
        <w:spacing w:lineRule="auto" w:line="240" w:before="0" w:after="0"/>
        <w:jc w:val="both"/>
        <w:rPr>
          <w:rFonts w:ascii="New Times Roman" w:hAnsi="New Times Roman" w:cs="New Times Roman"/>
          <w:i/>
          <w:i/>
          <w:iCs/>
          <w:color w:val="333333"/>
          <w:sz w:val="24"/>
          <w:szCs w:val="24"/>
          <w:lang w:eastAsia="pl-PL"/>
        </w:rPr>
      </w:pPr>
      <w:r>
        <w:rPr>
          <w:rFonts w:cs="New Times Roman" w:ascii="New Times Roman" w:hAnsi="New Times Roman"/>
          <w:i/>
          <w:iCs/>
          <w:color w:val="333333"/>
          <w:sz w:val="24"/>
          <w:szCs w:val="24"/>
          <w:lang w:eastAsia="pl-PL"/>
        </w:rPr>
        <w:t>Jeżeli sprawca czynu określonego powyżej stosuje wobec innej osoby przemoc, groźbę bezprawną lub podstęp, podlega karze pozbawienia wolności do lat 3.</w:t>
      </w:r>
    </w:p>
    <w:p>
      <w:pPr>
        <w:pStyle w:val="Normal"/>
        <w:numPr>
          <w:ilvl w:val="0"/>
          <w:numId w:val="10"/>
        </w:numPr>
        <w:shd w:val="clear" w:color="auto" w:fill="FFFFFF"/>
        <w:spacing w:lineRule="auto" w:line="240"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Podejmowanie działań odwetowych:</w:t>
      </w:r>
    </w:p>
    <w:p>
      <w:pPr>
        <w:pStyle w:val="Normal"/>
        <w:numPr>
          <w:ilvl w:val="1"/>
          <w:numId w:val="4"/>
        </w:numPr>
        <w:shd w:val="clear" w:color="auto" w:fill="FFFFFF"/>
        <w:spacing w:lineRule="auto" w:line="240" w:before="0" w:after="0"/>
        <w:jc w:val="both"/>
        <w:rPr>
          <w:rFonts w:ascii="New Times Roman" w:hAnsi="New Times Roman" w:cs="New Times Roman"/>
          <w:i/>
          <w:i/>
          <w:iCs/>
          <w:color w:val="333333"/>
          <w:sz w:val="24"/>
          <w:szCs w:val="24"/>
          <w:lang w:eastAsia="pl-PL"/>
        </w:rPr>
      </w:pPr>
      <w:r>
        <w:rPr>
          <w:rFonts w:cs="New Times Roman" w:ascii="New Times Roman" w:hAnsi="New Times Roman"/>
          <w:i/>
          <w:iCs/>
          <w:color w:val="333333"/>
          <w:sz w:val="24"/>
          <w:szCs w:val="24"/>
          <w:lang w:eastAsia="pl-PL"/>
        </w:rPr>
        <w:t xml:space="preserve">Kto podejmuje działania odwetowe wobec sygnalisty, osoby pomagającej </w:t>
        <w:br/>
        <w:t>w dokonaniu zgłoszenia lub osoby powiązanej z sygnalistą, podlega grzywnie, karze ograniczenia wolności albo pozbawienia wolności do lat 2.</w:t>
      </w:r>
    </w:p>
    <w:p>
      <w:pPr>
        <w:pStyle w:val="Normal"/>
        <w:numPr>
          <w:ilvl w:val="1"/>
          <w:numId w:val="4"/>
        </w:numPr>
        <w:shd w:val="clear" w:color="auto" w:fill="FFFFFF"/>
        <w:spacing w:lineRule="auto" w:line="240" w:before="0" w:after="0"/>
        <w:jc w:val="both"/>
        <w:rPr>
          <w:rFonts w:ascii="New Times Roman" w:hAnsi="New Times Roman" w:cs="New Times Roman"/>
          <w:i/>
          <w:i/>
          <w:iCs/>
          <w:color w:val="333333"/>
          <w:sz w:val="24"/>
          <w:szCs w:val="24"/>
          <w:lang w:eastAsia="pl-PL"/>
        </w:rPr>
      </w:pPr>
      <w:r>
        <w:rPr>
          <w:rFonts w:cs="New Times Roman" w:ascii="New Times Roman" w:hAnsi="New Times Roman"/>
          <w:i/>
          <w:iCs/>
          <w:color w:val="333333"/>
          <w:sz w:val="24"/>
          <w:szCs w:val="24"/>
          <w:lang w:eastAsia="pl-PL"/>
        </w:rPr>
        <w:t>Jeżeli sprawca czynu określonego powyżej działa w sposób uporczywy, podlega karze pozbawienia wolności do lat 3.</w:t>
      </w:r>
    </w:p>
    <w:p>
      <w:pPr>
        <w:pStyle w:val="Normal"/>
        <w:numPr>
          <w:ilvl w:val="0"/>
          <w:numId w:val="10"/>
        </w:numPr>
        <w:shd w:val="clear" w:color="auto" w:fill="FFFFFF"/>
        <w:spacing w:lineRule="auto" w:line="240"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 xml:space="preserve">Ujawnienie tożsamości sygnalisty, osoby pomagającej w dokonaniu zgłoszenia lub osoby powiązanej z sygnalistą: </w:t>
      </w:r>
      <w:r>
        <w:rPr>
          <w:rFonts w:cs="New Times Roman" w:ascii="New Times Roman" w:hAnsi="New Times Roman"/>
          <w:i/>
          <w:iCs/>
          <w:color w:val="333333"/>
          <w:sz w:val="24"/>
          <w:szCs w:val="24"/>
          <w:lang w:eastAsia="pl-PL"/>
        </w:rPr>
        <w:t xml:space="preserve">Kto wbrew przepisom ustawy ujawnia tożsamość sygnalisty, osoby pomagającej w dokonaniu zgłoszenia lub osoby powiązanej </w:t>
        <w:br/>
        <w:t>z sygnalistą, podlega grzywnie, karze ograniczenia wolności albo pozbawienia wolności do roku.</w:t>
      </w:r>
    </w:p>
    <w:p>
      <w:pPr>
        <w:pStyle w:val="Normal"/>
        <w:numPr>
          <w:ilvl w:val="0"/>
          <w:numId w:val="10"/>
        </w:numPr>
        <w:shd w:val="clear" w:color="auto" w:fill="FFFFFF"/>
        <w:spacing w:lineRule="auto" w:line="240" w:before="0" w:after="0"/>
        <w:jc w:val="both"/>
        <w:rPr>
          <w:rFonts w:ascii="New Times Roman" w:hAnsi="New Times Roman" w:cs="New Times Roman"/>
          <w:color w:val="333333"/>
          <w:sz w:val="24"/>
          <w:szCs w:val="24"/>
          <w:lang w:eastAsia="pl-PL"/>
        </w:rPr>
      </w:pPr>
      <w:r>
        <w:rPr>
          <w:rFonts w:cs="New Times Roman" w:ascii="New Times Roman" w:hAnsi="New Times Roman"/>
          <w:color w:val="333333"/>
          <w:sz w:val="24"/>
          <w:szCs w:val="24"/>
          <w:lang w:eastAsia="pl-PL"/>
        </w:rPr>
        <w:t xml:space="preserve">Dokonanie zgłoszenia lub ujawnienia publicznego pomimo wiedzy o braku naruszenia prawa: </w:t>
      </w:r>
      <w:r>
        <w:rPr>
          <w:rFonts w:cs="New Times Roman" w:ascii="New Times Roman" w:hAnsi="New Times Roman"/>
          <w:i/>
          <w:iCs/>
          <w:color w:val="333333"/>
          <w:sz w:val="24"/>
          <w:szCs w:val="24"/>
          <w:lang w:eastAsia="pl-PL"/>
        </w:rPr>
        <w:t>Kto dokonuje zgłoszenia lub ujawnienia publicznego, wiedząc, że do naruszenia prawa nie doszło, podlega grzywnie, karze ograniczenia wolności albo pozbawienia wolności do lat 2.</w:t>
      </w:r>
    </w:p>
    <w:p>
      <w:pPr>
        <w:pStyle w:val="Normal"/>
        <w:numPr>
          <w:ilvl w:val="0"/>
          <w:numId w:val="10"/>
        </w:numPr>
        <w:shd w:val="clear" w:color="auto" w:fill="FFFFFF"/>
        <w:spacing w:lineRule="auto" w:line="240" w:before="0" w:after="0"/>
        <w:jc w:val="both"/>
        <w:rPr>
          <w:rFonts w:ascii="New Times Roman" w:hAnsi="New Times Roman" w:cs="New Times Roman"/>
          <w:i/>
          <w:i/>
          <w:iCs/>
          <w:color w:val="333333"/>
          <w:sz w:val="24"/>
          <w:szCs w:val="24"/>
          <w:lang w:eastAsia="pl-PL"/>
        </w:rPr>
      </w:pPr>
      <w:r>
        <w:rPr>
          <w:rFonts w:cs="New Times Roman" w:ascii="New Times Roman" w:hAnsi="New Times Roman"/>
          <w:color w:val="333333"/>
          <w:sz w:val="24"/>
          <w:szCs w:val="24"/>
          <w:lang w:eastAsia="pl-PL"/>
        </w:rPr>
        <w:t xml:space="preserve">Naruszenie obowiązku ustanowienia procedury zgłoszeń wewnętrznych: </w:t>
      </w:r>
      <w:r>
        <w:rPr>
          <w:rFonts w:cs="New Times Roman" w:ascii="New Times Roman" w:hAnsi="New Times Roman"/>
          <w:i/>
          <w:iCs/>
          <w:color w:val="333333"/>
          <w:sz w:val="24"/>
          <w:szCs w:val="24"/>
          <w:lang w:eastAsia="pl-PL"/>
        </w:rPr>
        <w:t>Kto, będąc odpowiedzialnym za ustanowienie procedury zgłoszeń wewnętrznych, wbrew przepisom ustawy procedury tej nie ustanawia lub ustanawia ją z istotnym naruszeniem wynikających z ustawy wymogów, podlega karze grzywny.</w:t>
      </w:r>
    </w:p>
    <w:p>
      <w:pPr>
        <w:pStyle w:val="Normal"/>
        <w:shd w:val="clear" w:color="auto" w:fill="FFFFFF"/>
        <w:spacing w:lineRule="auto" w:line="276" w:before="0" w:after="200"/>
        <w:jc w:val="both"/>
        <w:rPr>
          <w:rFonts w:ascii="Open Sans" w:hAnsi="Open Sans" w:cs="Open Sans"/>
          <w:i/>
          <w:i/>
          <w:iCs/>
          <w:color w:val="333333"/>
          <w:sz w:val="24"/>
          <w:szCs w:val="24"/>
          <w:lang w:eastAsia="pl-PL"/>
        </w:rPr>
      </w:pPr>
      <w:r>
        <w:rPr>
          <w:rFonts w:cs="Open Sans" w:ascii="Open Sans" w:hAnsi="Open Sans"/>
          <w:i/>
          <w:iCs/>
          <w:color w:val="333333"/>
          <w:sz w:val="24"/>
          <w:szCs w:val="24"/>
          <w:lang w:eastAsia="pl-PL"/>
        </w:rPr>
      </w:r>
    </w:p>
    <w:p>
      <w:pPr>
        <w:pStyle w:val="Normal"/>
        <w:spacing w:lineRule="auto" w:line="240" w:before="0" w:after="0"/>
        <w:rPr>
          <w:rFonts w:ascii="Open Sans" w:hAnsi="Open Sans" w:cs="Open Sans"/>
          <w:i/>
          <w:i/>
          <w:iCs/>
          <w:color w:val="333333"/>
          <w:sz w:val="24"/>
          <w:szCs w:val="24"/>
          <w:lang w:eastAsia="pl-PL"/>
        </w:rPr>
      </w:pPr>
      <w:r>
        <w:rPr/>
      </w:r>
    </w:p>
    <w:sectPr>
      <w:headerReference w:type="first" r:id="rId2"/>
      <w:footerReference w:type="default" r:id="rId3"/>
      <w:type w:val="nextPage"/>
      <w:pgSz w:w="11906" w:h="16838"/>
      <w:pgMar w:left="2041" w:right="851" w:gutter="0" w:header="510" w:top="1418" w:footer="709"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Cambria">
    <w:charset w:val="ee"/>
    <w:family w:val="roman"/>
    <w:pitch w:val="variable"/>
  </w:font>
  <w:font w:name="Segoe UI">
    <w:charset w:val="ee"/>
    <w:family w:val="roman"/>
    <w:pitch w:val="variable"/>
  </w:font>
  <w:font w:name="Arial">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New Times Roman">
    <w:charset w:val="ee"/>
    <w:family w:val="roman"/>
    <w:pitch w:val="variable"/>
  </w:font>
  <w:font w:name="Open San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rFonts w:ascii="Arial" w:hAnsi="Arial" w:cs="Arial"/>
        <w:sz w:val="24"/>
        <w:szCs w:val="24"/>
      </w:rPr>
    </w:pPr>
    <w:r>
      <w:rPr>
        <w:rFonts w:cs="Arial" w:ascii="Arial" w:hAnsi="Arial"/>
        <w:sz w:val="24"/>
        <w:szCs w:val="24"/>
      </w:rPr>
      <w:t xml:space="preserve">str. </w:t>
    </w:r>
    <w:r>
      <w:rPr>
        <w:rFonts w:cs="Arial" w:ascii="Arial" w:hAnsi="Arial"/>
        <w:sz w:val="24"/>
        <w:szCs w:val="24"/>
      </w:rPr>
      <w:fldChar w:fldCharType="begin"/>
    </w:r>
    <w:r>
      <w:rPr>
        <w:sz w:val="24"/>
        <w:szCs w:val="24"/>
        <w:rFonts w:cs="Arial" w:ascii="Arial" w:hAnsi="Arial"/>
      </w:rPr>
      <w:instrText xml:space="preserve"> PAGE </w:instrText>
    </w:r>
    <w:r>
      <w:rPr>
        <w:sz w:val="24"/>
        <w:szCs w:val="24"/>
        <w:rFonts w:cs="Arial" w:ascii="Arial" w:hAnsi="Arial"/>
      </w:rPr>
      <w:fldChar w:fldCharType="separate"/>
    </w:r>
    <w:r>
      <w:rPr>
        <w:sz w:val="24"/>
        <w:szCs w:val="24"/>
        <w:rFonts w:cs="Arial" w:ascii="Arial" w:hAnsi="Arial"/>
      </w:rPr>
      <w:t>7</w:t>
    </w:r>
    <w:r>
      <w:rPr>
        <w:sz w:val="24"/>
        <w:szCs w:val="24"/>
        <w:rFonts w:cs="Arial" w:ascii="Arial" w:hAnsi="Arial"/>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rFonts w:ascii="Arial" w:hAnsi="Arial" w:cs="Arial"/>
        <w:b/>
        <w:bCs/>
        <w:sz w:val="24"/>
        <w:szCs w:val="24"/>
      </w:rPr>
    </w:pPr>
    <w:r>
      <w:rPr>
        <w:rFonts w:cs="Arial" w:ascii="Arial" w:hAnsi="Arial"/>
        <w:b/>
        <w:bCs/>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dstrike w:val="false"/>
        <w:strike w:val="false"/>
        <w:rFonts w:ascii="Arial" w:hAnsi="Arial" w:eastAsia="Times New Roman"/>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
    <w:lvl w:ilvl="0">
      <w:start w:val="1"/>
      <w:numFmt w:val="decimal"/>
      <w:lvlText w:val="%1."/>
      <w:lvlJc w:val="left"/>
      <w:pPr>
        <w:tabs>
          <w:tab w:val="num" w:pos="0"/>
        </w:tabs>
        <w:ind w:left="720" w:hanging="360"/>
      </w:pPr>
      <w:rPr>
        <w:b/>
        <w:bCs/>
      </w:rPr>
    </w:lvl>
    <w:lvl w:ilvl="1">
      <w:start w:val="1"/>
      <w:numFmt w:val="decimal"/>
      <w:lvlText w:val="%2)"/>
      <w:lvlJc w:val="left"/>
      <w:pPr>
        <w:tabs>
          <w:tab w:val="num" w:pos="0"/>
        </w:tabs>
        <w:ind w:left="1470" w:hanging="39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8">
    <w:lvl w:ilvl="0">
      <w:start w:val="1"/>
      <w:numFmt w:val="decimal"/>
      <w:lvlText w:val="%1)"/>
      <w:lvlJc w:val="lef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514" w:hanging="360"/>
      </w:pPr>
      <w:rPr/>
    </w:lvl>
    <w:lvl w:ilvl="1">
      <w:start w:val="1"/>
      <w:numFmt w:val="lowerLetter"/>
      <w:lvlText w:val="%2."/>
      <w:lvlJc w:val="left"/>
      <w:pPr>
        <w:tabs>
          <w:tab w:val="num" w:pos="0"/>
        </w:tabs>
        <w:ind w:left="2234" w:hanging="360"/>
      </w:pPr>
      <w:rPr/>
    </w:lvl>
    <w:lvl w:ilvl="2">
      <w:start w:val="1"/>
      <w:numFmt w:val="lowerRoman"/>
      <w:lvlText w:val="%3."/>
      <w:lvlJc w:val="right"/>
      <w:pPr>
        <w:tabs>
          <w:tab w:val="num" w:pos="0"/>
        </w:tabs>
        <w:ind w:left="2954" w:hanging="180"/>
      </w:pPr>
      <w:rPr/>
    </w:lvl>
    <w:lvl w:ilvl="3">
      <w:start w:val="1"/>
      <w:numFmt w:val="decimal"/>
      <w:lvlText w:val="%4."/>
      <w:lvlJc w:val="left"/>
      <w:pPr>
        <w:tabs>
          <w:tab w:val="num" w:pos="0"/>
        </w:tabs>
        <w:ind w:left="3674" w:hanging="360"/>
      </w:pPr>
      <w:rPr/>
    </w:lvl>
    <w:lvl w:ilvl="4">
      <w:start w:val="1"/>
      <w:numFmt w:val="lowerLetter"/>
      <w:lvlText w:val="%5."/>
      <w:lvlJc w:val="left"/>
      <w:pPr>
        <w:tabs>
          <w:tab w:val="num" w:pos="0"/>
        </w:tabs>
        <w:ind w:left="4394" w:hanging="360"/>
      </w:pPr>
      <w:rPr/>
    </w:lvl>
    <w:lvl w:ilvl="5">
      <w:start w:val="1"/>
      <w:numFmt w:val="lowerRoman"/>
      <w:lvlText w:val="%6."/>
      <w:lvlJc w:val="right"/>
      <w:pPr>
        <w:tabs>
          <w:tab w:val="num" w:pos="0"/>
        </w:tabs>
        <w:ind w:left="5114" w:hanging="180"/>
      </w:pPr>
      <w:rPr/>
    </w:lvl>
    <w:lvl w:ilvl="6">
      <w:start w:val="1"/>
      <w:numFmt w:val="decimal"/>
      <w:lvlText w:val="%7."/>
      <w:lvlJc w:val="left"/>
      <w:pPr>
        <w:tabs>
          <w:tab w:val="num" w:pos="0"/>
        </w:tabs>
        <w:ind w:left="5834" w:hanging="360"/>
      </w:pPr>
      <w:rPr/>
    </w:lvl>
    <w:lvl w:ilvl="7">
      <w:start w:val="1"/>
      <w:numFmt w:val="lowerLetter"/>
      <w:lvlText w:val="%8."/>
      <w:lvlJc w:val="left"/>
      <w:pPr>
        <w:tabs>
          <w:tab w:val="num" w:pos="0"/>
        </w:tabs>
        <w:ind w:left="6554" w:hanging="360"/>
      </w:pPr>
      <w:rPr/>
    </w:lvl>
    <w:lvl w:ilvl="8">
      <w:start w:val="1"/>
      <w:numFmt w:val="lowerRoman"/>
      <w:lvlText w:val="%9."/>
      <w:lvlJc w:val="right"/>
      <w:pPr>
        <w:tabs>
          <w:tab w:val="num" w:pos="0"/>
        </w:tabs>
        <w:ind w:left="7274"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embedSystemFonts/>
  <w:defaultTabStop w:val="708"/>
  <w:autoHyphenation w:val="true"/>
  <w:doNotHyphenateCaps/>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422699"/>
    <w:pPr>
      <w:widowControl/>
      <w:suppressAutoHyphens w:val="true"/>
      <w:bidi w:val="0"/>
      <w:spacing w:lineRule="auto" w:line="259" w:before="0" w:after="160"/>
      <w:jc w:val="left"/>
    </w:pPr>
    <w:rPr>
      <w:rFonts w:ascii="Calibri" w:hAnsi="Calibri" w:eastAsia="Calibri" w:cs="Calibri"/>
      <w:color w:val="auto"/>
      <w:kern w:val="0"/>
      <w:sz w:val="22"/>
      <w:szCs w:val="22"/>
      <w:lang w:val="pl-PL" w:eastAsia="en-US" w:bidi="ar-SA"/>
    </w:rPr>
  </w:style>
  <w:style w:type="paragraph" w:styleId="Nagwek1">
    <w:name w:val="Heading 1"/>
    <w:basedOn w:val="Normal"/>
    <w:next w:val="Normal"/>
    <w:link w:val="Heading1Char"/>
    <w:uiPriority w:val="99"/>
    <w:qFormat/>
    <w:rsid w:val="00171958"/>
    <w:pPr>
      <w:keepNext w:val="true"/>
      <w:keepLines/>
      <w:spacing w:before="240" w:after="0"/>
      <w:outlineLvl w:val="0"/>
    </w:pPr>
    <w:rPr>
      <w:rFonts w:ascii="Calibri Light" w:hAnsi="Calibri Light" w:eastAsia="Times New Roman" w:cs="Calibri Light"/>
      <w:color w:val="2E74B5"/>
      <w:sz w:val="32"/>
      <w:szCs w:val="32"/>
    </w:rPr>
  </w:style>
  <w:style w:type="paragraph" w:styleId="Nagwek2">
    <w:name w:val="Heading 2"/>
    <w:basedOn w:val="Normal"/>
    <w:next w:val="Normal"/>
    <w:link w:val="Heading2Char"/>
    <w:uiPriority w:val="99"/>
    <w:qFormat/>
    <w:rsid w:val="00171958"/>
    <w:pPr>
      <w:keepNext w:val="true"/>
      <w:keepLines/>
      <w:spacing w:before="40" w:after="0"/>
      <w:outlineLvl w:val="1"/>
    </w:pPr>
    <w:rPr>
      <w:rFonts w:ascii="Calibri Light" w:hAnsi="Calibri Light" w:eastAsia="Times New Roman" w:cs="Calibri Light"/>
      <w:color w:val="2E74B5"/>
      <w:sz w:val="26"/>
      <w:szCs w:val="26"/>
    </w:rPr>
  </w:style>
  <w:style w:type="paragraph" w:styleId="Nagwek4">
    <w:name w:val="Heading 4"/>
    <w:basedOn w:val="Normal"/>
    <w:next w:val="Normal"/>
    <w:link w:val="Heading4Char"/>
    <w:uiPriority w:val="99"/>
    <w:qFormat/>
    <w:rsid w:val="0090021e"/>
    <w:pPr>
      <w:keepNext w:val="true"/>
      <w:keepLines/>
      <w:spacing w:lineRule="auto" w:line="276" w:before="40" w:after="0"/>
      <w:outlineLvl w:val="3"/>
    </w:pPr>
    <w:rPr>
      <w:rFonts w:ascii="Calibri Light" w:hAnsi="Calibri Light" w:eastAsia="Times New Roman" w:cs="Calibri Light"/>
      <w:i/>
      <w:iCs/>
      <w:color w:val="2E74B5"/>
      <w:lang w:eastAsia="pl-PL"/>
    </w:rPr>
  </w:style>
  <w:style w:type="paragraph" w:styleId="Nagwek5">
    <w:name w:val="Heading 5"/>
    <w:basedOn w:val="Normal"/>
    <w:next w:val="Normal"/>
    <w:link w:val="Heading5Char"/>
    <w:uiPriority w:val="99"/>
    <w:qFormat/>
    <w:rsid w:val="008748c7"/>
    <w:pPr>
      <w:keepNext w:val="true"/>
      <w:keepLines/>
      <w:spacing w:before="40" w:after="0"/>
      <w:outlineLvl w:val="4"/>
    </w:pPr>
    <w:rPr>
      <w:rFonts w:ascii="Calibri Light" w:hAnsi="Calibri Light" w:eastAsia="Times New Roman" w:cs="Calibri Light"/>
      <w:color w:val="2E74B5"/>
    </w:rPr>
  </w:style>
  <w:style w:type="paragraph" w:styleId="Nagwek8">
    <w:name w:val="Heading 8"/>
    <w:basedOn w:val="Normal"/>
    <w:next w:val="Normal"/>
    <w:link w:val="Heading8Char"/>
    <w:uiPriority w:val="99"/>
    <w:qFormat/>
    <w:rsid w:val="0090021e"/>
    <w:pPr>
      <w:spacing w:lineRule="auto" w:line="276" w:before="240" w:after="60"/>
      <w:outlineLvl w:val="7"/>
    </w:pPr>
    <w:rPr>
      <w:rFonts w:eastAsia="Times New Roman"/>
      <w:i/>
      <w:iCs/>
      <w:sz w:val="24"/>
      <w:szCs w:val="24"/>
      <w:lang w:eastAsia="pl-PL"/>
    </w:rPr>
  </w:style>
  <w:style w:type="paragraph" w:styleId="Nagwek9">
    <w:name w:val="Heading 9"/>
    <w:basedOn w:val="Normal"/>
    <w:next w:val="Normal"/>
    <w:link w:val="Heading9Char"/>
    <w:uiPriority w:val="99"/>
    <w:qFormat/>
    <w:rsid w:val="0090021e"/>
    <w:pPr>
      <w:spacing w:lineRule="auto" w:line="276" w:before="240" w:after="60"/>
      <w:outlineLvl w:val="8"/>
    </w:pPr>
    <w:rPr>
      <w:rFonts w:ascii="Cambria" w:hAnsi="Cambria" w:eastAsia="Times New Roman" w:cs="Cambria"/>
      <w:lang w:eastAsia="pl-PL"/>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sid w:val="00171958"/>
    <w:rPr>
      <w:rFonts w:ascii="Calibri Light" w:hAnsi="Calibri Light" w:cs="Calibri Light"/>
      <w:color w:val="2E74B5"/>
      <w:sz w:val="32"/>
      <w:szCs w:val="32"/>
    </w:rPr>
  </w:style>
  <w:style w:type="character" w:styleId="Heading2Char" w:customStyle="1">
    <w:name w:val="Heading 2 Char"/>
    <w:basedOn w:val="DefaultParagraphFont"/>
    <w:uiPriority w:val="99"/>
    <w:qFormat/>
    <w:locked/>
    <w:rsid w:val="00171958"/>
    <w:rPr>
      <w:rFonts w:ascii="Calibri Light" w:hAnsi="Calibri Light" w:cs="Calibri Light"/>
      <w:color w:val="2E74B5"/>
      <w:sz w:val="26"/>
      <w:szCs w:val="26"/>
    </w:rPr>
  </w:style>
  <w:style w:type="character" w:styleId="Heading4Char" w:customStyle="1">
    <w:name w:val="Heading 4 Char"/>
    <w:basedOn w:val="DefaultParagraphFont"/>
    <w:uiPriority w:val="99"/>
    <w:semiHidden/>
    <w:qFormat/>
    <w:locked/>
    <w:rsid w:val="0090021e"/>
    <w:rPr>
      <w:rFonts w:ascii="Calibri Light" w:hAnsi="Calibri Light" w:cs="Calibri Light"/>
      <w:i/>
      <w:iCs/>
      <w:color w:val="2E74B5"/>
      <w:lang w:eastAsia="pl-PL"/>
    </w:rPr>
  </w:style>
  <w:style w:type="character" w:styleId="Heading5Char" w:customStyle="1">
    <w:name w:val="Heading 5 Char"/>
    <w:basedOn w:val="DefaultParagraphFont"/>
    <w:uiPriority w:val="99"/>
    <w:semiHidden/>
    <w:qFormat/>
    <w:locked/>
    <w:rsid w:val="008748c7"/>
    <w:rPr>
      <w:rFonts w:ascii="Calibri Light" w:hAnsi="Calibri Light" w:cs="Calibri Light"/>
      <w:color w:val="2E74B5"/>
    </w:rPr>
  </w:style>
  <w:style w:type="character" w:styleId="Heading8Char" w:customStyle="1">
    <w:name w:val="Heading 8 Char"/>
    <w:basedOn w:val="DefaultParagraphFont"/>
    <w:uiPriority w:val="99"/>
    <w:qFormat/>
    <w:locked/>
    <w:rsid w:val="0090021e"/>
    <w:rPr>
      <w:rFonts w:ascii="Calibri" w:hAnsi="Calibri" w:cs="Calibri"/>
      <w:i/>
      <w:iCs/>
      <w:sz w:val="24"/>
      <w:szCs w:val="24"/>
      <w:lang w:eastAsia="pl-PL"/>
    </w:rPr>
  </w:style>
  <w:style w:type="character" w:styleId="Heading9Char" w:customStyle="1">
    <w:name w:val="Heading 9 Char"/>
    <w:basedOn w:val="DefaultParagraphFont"/>
    <w:uiPriority w:val="99"/>
    <w:qFormat/>
    <w:locked/>
    <w:rsid w:val="0090021e"/>
    <w:rPr>
      <w:rFonts w:ascii="Cambria" w:hAnsi="Cambria" w:cs="Cambria"/>
      <w:lang w:eastAsia="pl-PL"/>
    </w:rPr>
  </w:style>
  <w:style w:type="character" w:styleId="HeaderChar" w:customStyle="1">
    <w:name w:val="Header Char"/>
    <w:basedOn w:val="DefaultParagraphFont"/>
    <w:uiPriority w:val="99"/>
    <w:qFormat/>
    <w:locked/>
    <w:rsid w:val="00607a5c"/>
    <w:rPr/>
  </w:style>
  <w:style w:type="character" w:styleId="FooterChar" w:customStyle="1">
    <w:name w:val="Footer Char"/>
    <w:basedOn w:val="DefaultParagraphFont"/>
    <w:uiPriority w:val="99"/>
    <w:qFormat/>
    <w:locked/>
    <w:rsid w:val="00607a5c"/>
    <w:rPr/>
  </w:style>
  <w:style w:type="character" w:styleId="Czeinternetowe">
    <w:name w:val="Hyperlink"/>
    <w:basedOn w:val="DefaultParagraphFont"/>
    <w:uiPriority w:val="99"/>
    <w:rsid w:val="0060452d"/>
    <w:rPr>
      <w:color w:val="auto"/>
      <w:u w:val="single"/>
    </w:rPr>
  </w:style>
  <w:style w:type="character" w:styleId="BalloonTextChar" w:customStyle="1">
    <w:name w:val="Balloon Text Char"/>
    <w:basedOn w:val="DefaultParagraphFont"/>
    <w:link w:val="BalloonText"/>
    <w:uiPriority w:val="99"/>
    <w:semiHidden/>
    <w:qFormat/>
    <w:locked/>
    <w:rsid w:val="00425960"/>
    <w:rPr>
      <w:rFonts w:ascii="Segoe UI" w:hAnsi="Segoe UI" w:cs="Segoe UI"/>
      <w:sz w:val="18"/>
      <w:szCs w:val="18"/>
    </w:rPr>
  </w:style>
  <w:style w:type="character" w:styleId="BodyTextChar" w:customStyle="1">
    <w:name w:val="Body Text Char"/>
    <w:basedOn w:val="DefaultParagraphFont"/>
    <w:uiPriority w:val="99"/>
    <w:qFormat/>
    <w:locked/>
    <w:rsid w:val="00ab489b"/>
    <w:rPr>
      <w:rFonts w:ascii="Arial" w:hAnsi="Arial" w:cs="Arial"/>
      <w:sz w:val="24"/>
      <w:szCs w:val="24"/>
    </w:rPr>
  </w:style>
  <w:style w:type="character" w:styleId="BodyText2Char" w:customStyle="1">
    <w:name w:val="Body Text 2 Char"/>
    <w:basedOn w:val="DefaultParagraphFont"/>
    <w:link w:val="BodyText2"/>
    <w:uiPriority w:val="99"/>
    <w:qFormat/>
    <w:locked/>
    <w:rsid w:val="00ab489b"/>
    <w:rPr>
      <w:rFonts w:ascii="Arial" w:hAnsi="Arial" w:cs="Arial"/>
      <w:sz w:val="20"/>
      <w:szCs w:val="20"/>
    </w:rPr>
  </w:style>
  <w:style w:type="character" w:styleId="BodyText3Char" w:customStyle="1">
    <w:name w:val="Body Text 3 Char"/>
    <w:basedOn w:val="DefaultParagraphFont"/>
    <w:link w:val="BodyText3"/>
    <w:uiPriority w:val="99"/>
    <w:qFormat/>
    <w:locked/>
    <w:rsid w:val="0090021e"/>
    <w:rPr>
      <w:rFonts w:ascii="Calibri" w:hAnsi="Calibri" w:cs="Calibri"/>
      <w:sz w:val="16"/>
      <w:szCs w:val="16"/>
      <w:lang w:eastAsia="pl-PL"/>
    </w:rPr>
  </w:style>
  <w:style w:type="character" w:styleId="TekstdymkaZnak1" w:customStyle="1">
    <w:name w:val="Tekst dymka Znak1"/>
    <w:uiPriority w:val="99"/>
    <w:qFormat/>
    <w:rsid w:val="0090021e"/>
    <w:rPr>
      <w:rFonts w:ascii="Tahoma" w:hAnsi="Tahoma" w:cs="Tahoma"/>
      <w:sz w:val="16"/>
      <w:szCs w:val="16"/>
    </w:rPr>
  </w:style>
  <w:style w:type="character" w:styleId="BodyTextIndentChar" w:customStyle="1">
    <w:name w:val="Body Text Indent Char"/>
    <w:basedOn w:val="DefaultParagraphFont"/>
    <w:uiPriority w:val="99"/>
    <w:semiHidden/>
    <w:qFormat/>
    <w:locked/>
    <w:rsid w:val="0090021e"/>
    <w:rPr>
      <w:rFonts w:ascii="Calibri" w:hAnsi="Calibri" w:cs="Calibri"/>
      <w:lang w:eastAsia="pl-PL"/>
    </w:rPr>
  </w:style>
  <w:style w:type="character" w:styleId="TitleChar" w:customStyle="1">
    <w:name w:val="Title Char"/>
    <w:basedOn w:val="DefaultParagraphFont"/>
    <w:uiPriority w:val="99"/>
    <w:qFormat/>
    <w:locked/>
    <w:rsid w:val="0090021e"/>
    <w:rPr>
      <w:rFonts w:ascii="Times New Roman" w:hAnsi="Times New Roman" w:cs="Times New Roman"/>
      <w:b/>
      <w:bCs/>
      <w:sz w:val="20"/>
      <w:szCs w:val="20"/>
      <w:lang w:eastAsia="pl-PL"/>
    </w:rPr>
  </w:style>
  <w:style w:type="character" w:styleId="EndnoteTextChar" w:customStyle="1">
    <w:name w:val="Endnote Text Char"/>
    <w:basedOn w:val="DefaultParagraphFont"/>
    <w:uiPriority w:val="99"/>
    <w:semiHidden/>
    <w:qFormat/>
    <w:locked/>
    <w:rsid w:val="0090021e"/>
    <w:rPr>
      <w:rFonts w:ascii="Calibri" w:hAnsi="Calibri" w:cs="Calibri"/>
      <w:sz w:val="20"/>
      <w:szCs w:val="20"/>
      <w:lang w:eastAsia="pl-PL"/>
    </w:rPr>
  </w:style>
  <w:style w:type="character" w:styleId="Znakiprzypiswkocowych">
    <w:name w:val="Znaki przypisów końcowych"/>
    <w:uiPriority w:val="99"/>
    <w:semiHidden/>
    <w:qFormat/>
    <w:rsid w:val="0090021e"/>
    <w:rPr>
      <w:vertAlign w:val="superscript"/>
    </w:rPr>
  </w:style>
  <w:style w:type="character" w:styleId="Zakotwiczenieprzypisukocowego">
    <w:name w:val="Endnote Reference"/>
    <w:rPr>
      <w:vertAlign w:val="superscript"/>
    </w:rPr>
  </w:style>
  <w:style w:type="character" w:styleId="FootnoteTextChar" w:customStyle="1">
    <w:name w:val="Footnote Text Char"/>
    <w:basedOn w:val="DefaultParagraphFont"/>
    <w:uiPriority w:val="99"/>
    <w:qFormat/>
    <w:locked/>
    <w:rsid w:val="0090021e"/>
    <w:rPr>
      <w:rFonts w:ascii="Calibri" w:hAnsi="Calibri" w:cs="Calibri"/>
      <w:sz w:val="20"/>
      <w:szCs w:val="20"/>
      <w:lang w:eastAsia="pl-PL"/>
    </w:rPr>
  </w:style>
  <w:style w:type="character" w:styleId="Znakiprzypiswdolnych">
    <w:name w:val="Znaki przypisów dolnych"/>
    <w:uiPriority w:val="99"/>
    <w:semiHidden/>
    <w:qFormat/>
    <w:rsid w:val="0090021e"/>
    <w:rPr>
      <w:vertAlign w:val="superscript"/>
    </w:rPr>
  </w:style>
  <w:style w:type="character" w:styleId="Zakotwiczenieprzypisudolnego">
    <w:name w:val="Footnote Reference"/>
    <w:rPr>
      <w:vertAlign w:val="superscript"/>
    </w:rPr>
  </w:style>
  <w:style w:type="character" w:styleId="Annotationreference">
    <w:name w:val="annotation reference"/>
    <w:basedOn w:val="DefaultParagraphFont"/>
    <w:uiPriority w:val="99"/>
    <w:semiHidden/>
    <w:qFormat/>
    <w:rsid w:val="0090021e"/>
    <w:rPr>
      <w:sz w:val="16"/>
      <w:szCs w:val="16"/>
    </w:rPr>
  </w:style>
  <w:style w:type="character" w:styleId="CommentTextChar" w:customStyle="1">
    <w:name w:val="Comment Text Char"/>
    <w:basedOn w:val="DefaultParagraphFont"/>
    <w:link w:val="Annotationtext"/>
    <w:uiPriority w:val="99"/>
    <w:semiHidden/>
    <w:qFormat/>
    <w:locked/>
    <w:rsid w:val="0090021e"/>
    <w:rPr>
      <w:rFonts w:ascii="Calibri" w:hAnsi="Calibri" w:cs="Calibri"/>
      <w:sz w:val="20"/>
      <w:szCs w:val="20"/>
      <w:lang w:eastAsia="pl-PL"/>
    </w:rPr>
  </w:style>
  <w:style w:type="character" w:styleId="CommentSubjectChar" w:customStyle="1">
    <w:name w:val="Comment Subject Char"/>
    <w:basedOn w:val="CommentTextChar"/>
    <w:link w:val="Annotationsubject"/>
    <w:uiPriority w:val="99"/>
    <w:semiHidden/>
    <w:qFormat/>
    <w:locked/>
    <w:rsid w:val="0090021e"/>
    <w:rPr>
      <w:b/>
      <w:bCs/>
    </w:rPr>
  </w:style>
  <w:style w:type="character" w:styleId="1111111Znak" w:customStyle="1">
    <w:name w:val="1111111 Znak"/>
    <w:uiPriority w:val="99"/>
    <w:qFormat/>
    <w:rsid w:val="0090021e"/>
    <w:rPr>
      <w:sz w:val="24"/>
      <w:szCs w:val="24"/>
      <w:lang w:val="pl-PL" w:eastAsia="ar-SA" w:bidi="ar-SA"/>
    </w:rPr>
  </w:style>
  <w:style w:type="character" w:styleId="Strong">
    <w:name w:val="Strong"/>
    <w:basedOn w:val="DefaultParagraphFont"/>
    <w:uiPriority w:val="99"/>
    <w:qFormat/>
    <w:rsid w:val="0090021e"/>
    <w:rPr>
      <w:b/>
      <w:bCs/>
    </w:rPr>
  </w:style>
  <w:style w:type="character" w:styleId="Wyrnienie">
    <w:name w:val="Emphasis"/>
    <w:basedOn w:val="DefaultParagraphFont"/>
    <w:uiPriority w:val="99"/>
    <w:qFormat/>
    <w:rsid w:val="0090021e"/>
    <w:rPr>
      <w:i/>
      <w:iCs/>
    </w:rPr>
  </w:style>
  <w:style w:type="character" w:styleId="ListParagraphChar" w:customStyle="1">
    <w:name w:val="List Paragraph Char"/>
    <w:basedOn w:val="DefaultParagraphFont"/>
    <w:link w:val="ListParagraph"/>
    <w:uiPriority w:val="99"/>
    <w:qFormat/>
    <w:locked/>
    <w:rsid w:val="0090021e"/>
    <w:rPr/>
  </w:style>
  <w:style w:type="character" w:styleId="Fn-ref" w:customStyle="1">
    <w:name w:val="fn-ref"/>
    <w:basedOn w:val="DefaultParagraphFont"/>
    <w:uiPriority w:val="99"/>
    <w:qFormat/>
    <w:rsid w:val="0090021e"/>
    <w:rPr/>
  </w:style>
  <w:style w:type="character" w:styleId="FontStyle20" w:customStyle="1">
    <w:name w:val="Font Style20"/>
    <w:uiPriority w:val="99"/>
    <w:qFormat/>
    <w:rsid w:val="0090021e"/>
    <w:rPr>
      <w:rFonts w:ascii="Arial" w:hAnsi="Arial" w:cs="Arial"/>
      <w:sz w:val="24"/>
      <w:szCs w:val="24"/>
    </w:rPr>
  </w:style>
  <w:style w:type="character" w:styleId="Nierozpoznanawzmianka1" w:customStyle="1">
    <w:name w:val="Nierozpoznana wzmianka1"/>
    <w:basedOn w:val="DefaultParagraphFont"/>
    <w:uiPriority w:val="99"/>
    <w:semiHidden/>
    <w:qFormat/>
    <w:rsid w:val="0090021e"/>
    <w:rPr>
      <w:color w:val="000000"/>
      <w:shd w:fill="auto" w:val="clear"/>
    </w:rPr>
  </w:style>
  <w:style w:type="character" w:styleId="Alb-s" w:customStyle="1">
    <w:name w:val="a_lb-s"/>
    <w:basedOn w:val="DefaultParagraphFont"/>
    <w:uiPriority w:val="99"/>
    <w:qFormat/>
    <w:rsid w:val="0090021e"/>
    <w:rPr/>
  </w:style>
  <w:style w:type="character" w:styleId="Nierozpoznanawzmianka2" w:customStyle="1">
    <w:name w:val="Nierozpoznana wzmianka2"/>
    <w:basedOn w:val="DefaultParagraphFont"/>
    <w:uiPriority w:val="99"/>
    <w:semiHidden/>
    <w:qFormat/>
    <w:rsid w:val="0090021e"/>
    <w:rPr>
      <w:color w:val="000000"/>
      <w:shd w:fill="auto"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BodyTextChar"/>
    <w:uiPriority w:val="99"/>
    <w:rsid w:val="00ab489b"/>
    <w:pPr>
      <w:spacing w:lineRule="auto" w:line="240" w:before="0" w:after="0"/>
      <w:jc w:val="both"/>
    </w:pPr>
    <w:rPr>
      <w:rFonts w:ascii="Arial" w:hAnsi="Arial" w:cs="Arial"/>
      <w:sz w:val="24"/>
      <w:szCs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HeaderChar"/>
    <w:uiPriority w:val="99"/>
    <w:rsid w:val="00607a5c"/>
    <w:pPr>
      <w:tabs>
        <w:tab w:val="clear" w:pos="708"/>
        <w:tab w:val="center" w:pos="4536" w:leader="none"/>
        <w:tab w:val="right" w:pos="9072" w:leader="none"/>
      </w:tabs>
      <w:spacing w:lineRule="auto" w:line="240" w:before="0" w:after="0"/>
    </w:pPr>
    <w:rPr/>
  </w:style>
  <w:style w:type="paragraph" w:styleId="Stopka">
    <w:name w:val="Footer"/>
    <w:basedOn w:val="Normal"/>
    <w:link w:val="FooterChar"/>
    <w:uiPriority w:val="99"/>
    <w:rsid w:val="00607a5c"/>
    <w:pPr>
      <w:tabs>
        <w:tab w:val="clear" w:pos="708"/>
        <w:tab w:val="center" w:pos="4536" w:leader="none"/>
        <w:tab w:val="right" w:pos="9072" w:leader="none"/>
      </w:tabs>
      <w:spacing w:lineRule="auto" w:line="240" w:before="0" w:after="0"/>
    </w:pPr>
    <w:rPr/>
  </w:style>
  <w:style w:type="paragraph" w:styleId="ListParagraph">
    <w:name w:val="List Paragraph"/>
    <w:basedOn w:val="Normal"/>
    <w:link w:val="ListParagraphChar"/>
    <w:uiPriority w:val="99"/>
    <w:qFormat/>
    <w:rsid w:val="00607a5c"/>
    <w:pPr>
      <w:ind w:left="720" w:hanging="0"/>
    </w:pPr>
    <w:rPr/>
  </w:style>
  <w:style w:type="paragraph" w:styleId="Nagwekindeksu">
    <w:name w:val="Index Heading"/>
    <w:basedOn w:val="Nagwek"/>
    <w:pPr/>
    <w:rPr/>
  </w:style>
  <w:style w:type="paragraph" w:styleId="Nagwekspisutreci">
    <w:name w:val="TOC Heading"/>
    <w:basedOn w:val="Nagwek1"/>
    <w:next w:val="Normal"/>
    <w:uiPriority w:val="99"/>
    <w:qFormat/>
    <w:rsid w:val="0060452d"/>
    <w:pPr>
      <w:outlineLvl w:val="9"/>
    </w:pPr>
    <w:rPr>
      <w:lang w:eastAsia="pl-PL"/>
    </w:rPr>
  </w:style>
  <w:style w:type="paragraph" w:styleId="Spistreci1">
    <w:name w:val="TOC 1"/>
    <w:basedOn w:val="Normal"/>
    <w:next w:val="Normal"/>
    <w:autoRedefine/>
    <w:uiPriority w:val="99"/>
    <w:semiHidden/>
    <w:rsid w:val="0060452d"/>
    <w:pPr>
      <w:spacing w:before="0" w:after="100"/>
    </w:pPr>
    <w:rPr/>
  </w:style>
  <w:style w:type="paragraph" w:styleId="Spistreci2">
    <w:name w:val="TOC 2"/>
    <w:basedOn w:val="Normal"/>
    <w:next w:val="Normal"/>
    <w:autoRedefine/>
    <w:uiPriority w:val="99"/>
    <w:semiHidden/>
    <w:rsid w:val="0060452d"/>
    <w:pPr>
      <w:spacing w:before="0" w:after="100"/>
      <w:ind w:left="220" w:hanging="0"/>
    </w:pPr>
    <w:rPr/>
  </w:style>
  <w:style w:type="paragraph" w:styleId="BalloonText">
    <w:name w:val="Balloon Text"/>
    <w:basedOn w:val="Normal"/>
    <w:link w:val="BalloonTextChar"/>
    <w:uiPriority w:val="99"/>
    <w:semiHidden/>
    <w:qFormat/>
    <w:rsid w:val="00425960"/>
    <w:pPr>
      <w:spacing w:lineRule="auto" w:line="240" w:before="0" w:after="0"/>
    </w:pPr>
    <w:rPr>
      <w:rFonts w:ascii="Segoe UI" w:hAnsi="Segoe UI" w:cs="Segoe UI"/>
      <w:sz w:val="18"/>
      <w:szCs w:val="18"/>
    </w:rPr>
  </w:style>
  <w:style w:type="paragraph" w:styleId="BodyText2">
    <w:name w:val="Body Text 2"/>
    <w:basedOn w:val="Normal"/>
    <w:link w:val="BodyText2Char"/>
    <w:uiPriority w:val="99"/>
    <w:qFormat/>
    <w:rsid w:val="00ab489b"/>
    <w:pPr>
      <w:spacing w:lineRule="auto" w:line="240" w:before="0" w:after="0"/>
      <w:jc w:val="both"/>
    </w:pPr>
    <w:rPr>
      <w:rFonts w:ascii="Arial" w:hAnsi="Arial" w:cs="Arial"/>
      <w:sz w:val="20"/>
      <w:szCs w:val="20"/>
    </w:rPr>
  </w:style>
  <w:style w:type="paragraph" w:styleId="Tekstpodstawowy21" w:customStyle="1">
    <w:name w:val="Tekst podstawowy 21"/>
    <w:basedOn w:val="Normal"/>
    <w:uiPriority w:val="99"/>
    <w:qFormat/>
    <w:rsid w:val="0090021e"/>
    <w:pPr>
      <w:spacing w:lineRule="auto" w:line="240" w:before="0" w:after="0"/>
      <w:ind w:left="993" w:hanging="285"/>
    </w:pPr>
    <w:rPr>
      <w:rFonts w:ascii="Times New Roman" w:hAnsi="Times New Roman" w:eastAsia="Times New Roman" w:cs="Times New Roman"/>
      <w:sz w:val="28"/>
      <w:szCs w:val="28"/>
      <w:lang w:eastAsia="pl-PL"/>
    </w:rPr>
  </w:style>
  <w:style w:type="paragraph" w:styleId="BodyText3">
    <w:name w:val="Body Text 3"/>
    <w:basedOn w:val="Normal"/>
    <w:link w:val="BodyText3Char"/>
    <w:uiPriority w:val="99"/>
    <w:qFormat/>
    <w:rsid w:val="0090021e"/>
    <w:pPr>
      <w:spacing w:lineRule="auto" w:line="276" w:before="0" w:after="120"/>
    </w:pPr>
    <w:rPr>
      <w:rFonts w:eastAsia="Times New Roman"/>
      <w:sz w:val="16"/>
      <w:szCs w:val="16"/>
      <w:lang w:eastAsia="pl-PL"/>
    </w:rPr>
  </w:style>
  <w:style w:type="paragraph" w:styleId="Wcicietrecitekstu">
    <w:name w:val="Body Text Indent"/>
    <w:basedOn w:val="Normal"/>
    <w:link w:val="BodyTextIndentChar"/>
    <w:uiPriority w:val="99"/>
    <w:semiHidden/>
    <w:rsid w:val="0090021e"/>
    <w:pPr>
      <w:spacing w:lineRule="auto" w:line="276" w:before="0" w:after="120"/>
      <w:ind w:left="283" w:hanging="0"/>
    </w:pPr>
    <w:rPr>
      <w:rFonts w:eastAsia="Times New Roman"/>
      <w:lang w:eastAsia="pl-PL"/>
    </w:rPr>
  </w:style>
  <w:style w:type="paragraph" w:styleId="Tytu">
    <w:name w:val="Title"/>
    <w:basedOn w:val="Normal"/>
    <w:link w:val="TitleChar"/>
    <w:uiPriority w:val="99"/>
    <w:qFormat/>
    <w:rsid w:val="0090021e"/>
    <w:pPr>
      <w:spacing w:lineRule="auto" w:line="240" w:before="0" w:after="0"/>
      <w:jc w:val="center"/>
    </w:pPr>
    <w:rPr>
      <w:rFonts w:ascii="Times New Roman" w:hAnsi="Times New Roman" w:eastAsia="Times New Roman" w:cs="Times New Roman"/>
      <w:b/>
      <w:bCs/>
      <w:sz w:val="28"/>
      <w:szCs w:val="28"/>
      <w:lang w:eastAsia="pl-PL"/>
    </w:rPr>
  </w:style>
  <w:style w:type="paragraph" w:styleId="Style40" w:customStyle="1">
    <w:name w:val="Style40"/>
    <w:basedOn w:val="Normal"/>
    <w:uiPriority w:val="99"/>
    <w:qFormat/>
    <w:rsid w:val="0090021e"/>
    <w:pPr>
      <w:widowControl w:val="false"/>
      <w:spacing w:lineRule="exact" w:line="230" w:before="0" w:after="0"/>
      <w:jc w:val="both"/>
    </w:pPr>
    <w:rPr>
      <w:rFonts w:ascii="Arial" w:hAnsi="Arial" w:eastAsia="Times New Roman" w:cs="Arial"/>
      <w:sz w:val="24"/>
      <w:szCs w:val="24"/>
      <w:lang w:eastAsia="pl-PL"/>
    </w:rPr>
  </w:style>
  <w:style w:type="paragraph" w:styleId="NoSpacing">
    <w:name w:val="No Spacing"/>
    <w:uiPriority w:val="99"/>
    <w:qFormat/>
    <w:rsid w:val="0090021e"/>
    <w:pPr>
      <w:widowControl/>
      <w:suppressAutoHyphens w:val="true"/>
      <w:bidi w:val="0"/>
      <w:spacing w:before="0" w:after="0"/>
      <w:jc w:val="left"/>
    </w:pPr>
    <w:rPr>
      <w:rFonts w:ascii="Calibri" w:hAnsi="Calibri" w:eastAsia="Times New Roman" w:cs="Calibri"/>
      <w:color w:val="auto"/>
      <w:kern w:val="0"/>
      <w:sz w:val="22"/>
      <w:szCs w:val="22"/>
      <w:lang w:val="pl-PL" w:eastAsia="pl-PL" w:bidi="ar-SA"/>
    </w:rPr>
  </w:style>
  <w:style w:type="paragraph" w:styleId="Przypiskocowy">
    <w:name w:val="Endnote Text"/>
    <w:basedOn w:val="Normal"/>
    <w:link w:val="EndnoteTextChar"/>
    <w:uiPriority w:val="99"/>
    <w:semiHidden/>
    <w:rsid w:val="0090021e"/>
    <w:pPr>
      <w:spacing w:lineRule="auto" w:line="276" w:before="0" w:after="200"/>
    </w:pPr>
    <w:rPr>
      <w:rFonts w:eastAsia="Times New Roman"/>
      <w:sz w:val="20"/>
      <w:szCs w:val="20"/>
      <w:lang w:eastAsia="pl-PL"/>
    </w:rPr>
  </w:style>
  <w:style w:type="paragraph" w:styleId="Default" w:customStyle="1">
    <w:name w:val="Default"/>
    <w:uiPriority w:val="99"/>
    <w:qFormat/>
    <w:rsid w:val="0090021e"/>
    <w:pPr>
      <w:widowControl/>
      <w:suppressAutoHyphens w:val="true"/>
      <w:bidi w:val="0"/>
      <w:spacing w:before="0" w:after="0"/>
      <w:jc w:val="left"/>
    </w:pPr>
    <w:rPr>
      <w:rFonts w:ascii="Calibri" w:hAnsi="Calibri" w:eastAsia="Calibri" w:cs="Calibri"/>
      <w:color w:val="000000"/>
      <w:kern w:val="0"/>
      <w:sz w:val="24"/>
      <w:szCs w:val="24"/>
      <w:lang w:val="pl-PL" w:eastAsia="pl-PL" w:bidi="ar-SA"/>
    </w:rPr>
  </w:style>
  <w:style w:type="paragraph" w:styleId="Przypisdolny">
    <w:name w:val="Footnote Text"/>
    <w:basedOn w:val="Normal"/>
    <w:link w:val="FootnoteTextChar"/>
    <w:uiPriority w:val="99"/>
    <w:semiHidden/>
    <w:rsid w:val="0090021e"/>
    <w:pPr>
      <w:spacing w:lineRule="auto" w:line="276" w:before="0" w:after="200"/>
    </w:pPr>
    <w:rPr>
      <w:rFonts w:eastAsia="Times New Roman"/>
      <w:sz w:val="20"/>
      <w:szCs w:val="20"/>
      <w:lang w:eastAsia="pl-PL"/>
    </w:rPr>
  </w:style>
  <w:style w:type="paragraph" w:styleId="Annotationtext">
    <w:name w:val="annotation text"/>
    <w:basedOn w:val="Normal"/>
    <w:link w:val="CommentTextChar"/>
    <w:uiPriority w:val="99"/>
    <w:semiHidden/>
    <w:qFormat/>
    <w:rsid w:val="0090021e"/>
    <w:pPr>
      <w:spacing w:lineRule="auto" w:line="240" w:before="0" w:after="200"/>
    </w:pPr>
    <w:rPr>
      <w:rFonts w:eastAsia="Times New Roman"/>
      <w:sz w:val="20"/>
      <w:szCs w:val="20"/>
      <w:lang w:eastAsia="pl-PL"/>
    </w:rPr>
  </w:style>
  <w:style w:type="paragraph" w:styleId="Annotationsubject">
    <w:name w:val="annotation subject"/>
    <w:basedOn w:val="Annotationtext"/>
    <w:next w:val="Annotationtext"/>
    <w:link w:val="CommentSubjectChar"/>
    <w:uiPriority w:val="99"/>
    <w:semiHidden/>
    <w:qFormat/>
    <w:rsid w:val="0090021e"/>
    <w:pPr/>
    <w:rPr>
      <w:b/>
      <w:bCs/>
    </w:rPr>
  </w:style>
  <w:style w:type="paragraph" w:styleId="TitleStyle" w:customStyle="1">
    <w:name w:val="TitleStyle"/>
    <w:uiPriority w:val="99"/>
    <w:qFormat/>
    <w:rsid w:val="0090021e"/>
    <w:pPr>
      <w:widowControl/>
      <w:numPr>
        <w:ilvl w:val="0"/>
        <w:numId w:val="1"/>
      </w:numPr>
      <w:suppressAutoHyphens w:val="true"/>
      <w:bidi w:val="0"/>
      <w:spacing w:before="0" w:after="0"/>
      <w:jc w:val="both"/>
    </w:pPr>
    <w:rPr>
      <w:rFonts w:ascii="Arial" w:hAnsi="Arial" w:eastAsia="Times New Roman" w:cs="Arial"/>
      <w:color w:val="000000"/>
      <w:kern w:val="0"/>
      <w:sz w:val="24"/>
      <w:szCs w:val="24"/>
      <w:lang w:val="pl-PL" w:eastAsia="pl-PL" w:bidi="ar-SA"/>
    </w:rPr>
  </w:style>
  <w:style w:type="paragraph" w:styleId="Tekst" w:customStyle="1">
    <w:name w:val="Tekst"/>
    <w:basedOn w:val="Normal"/>
    <w:uiPriority w:val="99"/>
    <w:qFormat/>
    <w:rsid w:val="0090021e"/>
    <w:pPr>
      <w:tabs>
        <w:tab w:val="clear" w:pos="708"/>
        <w:tab w:val="left" w:pos="567" w:leader="none"/>
      </w:tabs>
      <w:spacing w:lineRule="exact" w:line="280" w:before="60" w:after="60"/>
      <w:ind w:firstLine="567"/>
      <w:jc w:val="both"/>
    </w:pPr>
    <w:rPr>
      <w:rFonts w:ascii="Times New Roman" w:hAnsi="Times New Roman" w:eastAsia="Times New Roman" w:cs="Times New Roman"/>
      <w:sz w:val="24"/>
      <w:szCs w:val="24"/>
      <w:lang w:eastAsia="pl-PL"/>
    </w:rPr>
  </w:style>
  <w:style w:type="paragraph" w:styleId="Revision">
    <w:name w:val="Revision"/>
    <w:uiPriority w:val="99"/>
    <w:semiHidden/>
    <w:qFormat/>
    <w:rsid w:val="0090021e"/>
    <w:pPr>
      <w:widowControl/>
      <w:suppressAutoHyphens w:val="true"/>
      <w:bidi w:val="0"/>
      <w:spacing w:before="0" w:after="0"/>
      <w:jc w:val="left"/>
    </w:pPr>
    <w:rPr>
      <w:rFonts w:ascii="Calibri" w:hAnsi="Calibri" w:eastAsia="Times New Roman" w:cs="Calibri"/>
      <w:color w:val="auto"/>
      <w:kern w:val="0"/>
      <w:sz w:val="22"/>
      <w:szCs w:val="22"/>
      <w:lang w:val="pl-PL" w:eastAsia="pl-PL" w:bidi="ar-SA"/>
    </w:rPr>
  </w:style>
  <w:style w:type="paragraph" w:styleId="Spistreci3">
    <w:name w:val="TOC 3"/>
    <w:basedOn w:val="Normal"/>
    <w:next w:val="Normal"/>
    <w:autoRedefine/>
    <w:uiPriority w:val="99"/>
    <w:semiHidden/>
    <w:rsid w:val="0090021e"/>
    <w:pPr>
      <w:spacing w:before="0" w:after="100"/>
      <w:ind w:left="440" w:hanging="0"/>
    </w:pPr>
    <w:rPr>
      <w:rFonts w:eastAsia="Times New Roman"/>
      <w:lang w:eastAsia="pl-PL"/>
    </w:rPr>
  </w:style>
  <w:style w:type="paragraph" w:styleId="Caption">
    <w:name w:val="caption"/>
    <w:basedOn w:val="Normal"/>
    <w:uiPriority w:val="99"/>
    <w:qFormat/>
    <w:rsid w:val="0090021e"/>
    <w:pPr>
      <w:suppressLineNumbers/>
      <w:spacing w:lineRule="auto" w:line="240" w:before="120" w:after="120"/>
    </w:pPr>
    <w:rPr>
      <w:rFonts w:ascii="Liberation Serif" w:hAnsi="Liberation Serif" w:eastAsia="SimSun" w:cs="Liberation Serif"/>
      <w:i/>
      <w:iCs/>
      <w:sz w:val="24"/>
      <w:szCs w:val="24"/>
      <w:lang w:eastAsia="zh-CN"/>
    </w:rPr>
  </w:style>
  <w:style w:type="paragraph" w:styleId="NormalWeb">
    <w:name w:val="Normal (Web)"/>
    <w:basedOn w:val="Normal"/>
    <w:uiPriority w:val="99"/>
    <w:qFormat/>
    <w:rsid w:val="0090021e"/>
    <w:pPr>
      <w:spacing w:lineRule="auto" w:line="240" w:beforeAutospacing="1" w:afterAutospacing="1"/>
    </w:pPr>
    <w:rPr>
      <w:rFonts w:ascii="Times New Roman" w:hAnsi="Times New Roman" w:eastAsia="Times New Roman" w:cs="Times New Roman"/>
      <w:sz w:val="24"/>
      <w:szCs w:val="24"/>
      <w:lang w:eastAsia="pl-PL"/>
    </w:rPr>
  </w:style>
  <w:style w:type="paragraph" w:styleId="Style11" w:customStyle="1">
    <w:name w:val="Style1"/>
    <w:basedOn w:val="Normal"/>
    <w:uiPriority w:val="99"/>
    <w:qFormat/>
    <w:rsid w:val="0090021e"/>
    <w:pPr>
      <w:widowControl w:val="false"/>
      <w:spacing w:lineRule="auto" w:line="240" w:before="0" w:after="0"/>
    </w:pPr>
    <w:rPr>
      <w:rFonts w:ascii="Times New Roman" w:hAnsi="Times New Roman" w:eastAsia="Times New Roman" w:cs="Times New Roman"/>
      <w:sz w:val="24"/>
      <w:szCs w:val="24"/>
      <w:lang w:eastAsia="pl-PL"/>
    </w:rPr>
  </w:style>
  <w:style w:type="paragraph" w:styleId="Text-justify" w:customStyle="1">
    <w:name w:val="text-justify"/>
    <w:basedOn w:val="Normal"/>
    <w:uiPriority w:val="99"/>
    <w:qFormat/>
    <w:rsid w:val="0090021e"/>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numbering" w:styleId="WW8Num201" w:customStyle="1">
    <w:name w:val="WW8Num201"/>
    <w:qFormat/>
    <w:rsid w:val="00f30571"/>
  </w:style>
  <w:style w:type="numbering" w:styleId="Styl1" w:customStyle="1">
    <w:name w:val="Styl1"/>
    <w:qFormat/>
    <w:rsid w:val="00f30571"/>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af05d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Siatka1">
    <w:name w:val="Tabela - Siatka1"/>
    <w:uiPriority w:val="99"/>
    <w:rsid w:val="0090021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Siatka2">
    <w:name w:val="Tabela - Siatka2"/>
    <w:uiPriority w:val="99"/>
    <w:rsid w:val="0090021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Siatka3">
    <w:name w:val="Tabela - Siatka3"/>
    <w:uiPriority w:val="99"/>
    <w:rsid w:val="0090021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Siatka224">
    <w:name w:val="Tabela - Siatka224"/>
    <w:uiPriority w:val="99"/>
    <w:rsid w:val="0090021e"/>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Application>LibreOffice/7.5.2.2$Windows_X86_64 LibreOffice_project/53bb9681a964705cf672590721dbc85eb4d0c3a2</Application>
  <AppVersion>15.0000</AppVersion>
  <Pages>7</Pages>
  <Words>2376</Words>
  <Characters>15165</Characters>
  <CharactersWithSpaces>17346</CharactersWithSpaces>
  <Paragraphs>129</Paragraphs>
  <Company>Resort Obrony Narodowej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2025-02-21T09:03:00Z</dcterms:created>
  <dc:creator>Sobierajska Katarzyna</dc:creator>
  <dc:description/>
  <dc:language>pl-PL</dc:language>
  <cp:lastModifiedBy/>
  <cp:lastPrinted>2025-02-21T09:13:00Z</cp:lastPrinted>
  <dcterms:modified xsi:type="dcterms:W3CDTF">2025-02-21T11:29:52Z</dcterms:modified>
  <cp:revision>4</cp:revision>
  <dc:subject/>
  <dc:title>Informacja dla sygnalistów zgodnie z 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Saver">
    <vt:lpwstr>cmTNs3WQ6Ilp0WZlZvRPxdW0cI681k9Z</vt:lpwstr>
  </property>
  <property fmtid="{D5CDD505-2E9C-101B-9397-08002B2CF9AE}" pid="8" name="docIndexRef">
    <vt:lpwstr>84c81ed0-75e4-4864-a9b7-37b00b853586</vt:lpwstr>
  </property>
  <property fmtid="{D5CDD505-2E9C-101B-9397-08002B2CF9AE}" pid="9" name="s5636:Creator type=IP">
    <vt:lpwstr>10.70.108.66</vt:lpwstr>
  </property>
  <property fmtid="{D5CDD505-2E9C-101B-9397-08002B2CF9AE}" pid="10" name="s5636:Creator type=author">
    <vt:lpwstr>Sobierajska Katarzyna</vt:lpwstr>
  </property>
  <property fmtid="{D5CDD505-2E9C-101B-9397-08002B2CF9AE}" pid="11" name="s5636:Creator type=organization">
    <vt:lpwstr>MILNET-Z</vt:lpwstr>
  </property>
  <property fmtid="{D5CDD505-2E9C-101B-9397-08002B2CF9AE}" pid="12" name="_MarkAsFinal">
    <vt:bool>1</vt:bool>
  </property>
</Properties>
</file>